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00"/>
        <w:jc w:val="center"/>
      </w:pPr>
      <w:r>
        <w:rPr>
          <w:rFonts w:ascii="Arial" w:hAnsi="Arial"/>
          <w:b/>
          <w:color w:val="17112F"/>
          <w:sz w:val="64"/>
        </w:rPr>
        <w:t>COSMIC TRANSCRIBER</w:t>
      </w:r>
    </w:p>
    <w:p>
      <w:pPr>
        <w:jc w:val="center"/>
      </w:pPr>
      <w:r>
        <w:rPr>
          <w:rFonts w:ascii="Arial" w:hAnsi="Arial"/>
          <w:b/>
          <w:color w:val="E7B94D"/>
          <w:sz w:val="34"/>
        </w:rPr>
        <w:t>Version 1.0.27</w:t>
      </w:r>
    </w:p>
    <w:p>
      <w:pPr>
        <w:spacing w:before="240"/>
        <w:jc w:val="center"/>
      </w:pPr>
      <w:r>
        <w:rPr>
          <w:rFonts w:ascii="Arial" w:hAnsi="Arial"/>
          <w:color w:val="241A43"/>
          <w:sz w:val="26"/>
        </w:rPr>
        <w:t>Comprehensive User, Troubleshooting, Developer, and Release Manual</w:t>
      </w:r>
    </w:p>
    <w:p>
      <w:pPr>
        <w:spacing w:before="360"/>
        <w:jc w:val="center"/>
      </w:pPr>
      <w:r>
        <w:drawing>
          <wp:inline xmlns:a="http://schemas.openxmlformats.org/drawingml/2006/main" xmlns:pic="http://schemas.openxmlformats.org/drawingml/2006/picture">
            <wp:extent cx="6035040" cy="3701491"/>
            <wp:docPr id="1" name="Picture 1" title="Cosmic Transcriber v1.0.27 interface with settings autosave" descr="Dark-mode Cosmic Transcriber v1.0.27 interface showing the readable model selector, settings autosave status, MP3 queue, API-key controls, progress, and Start transcription button."/>
            <wp:cNvGraphicFramePr>
              <a:graphicFrameLocks noChangeAspect="1"/>
            </wp:cNvGraphicFramePr>
            <a:graphic>
              <a:graphicData uri="http://schemas.openxmlformats.org/drawingml/2006/picture">
                <pic:pic>
                  <pic:nvPicPr>
                    <pic:cNvPr id="0" name="UI_PREVIEW.png"/>
                    <pic:cNvPicPr/>
                  </pic:nvPicPr>
                  <pic:blipFill>
                    <a:blip r:embed="rId11"/>
                    <a:stretch>
                      <a:fillRect/>
                    </a:stretch>
                  </pic:blipFill>
                  <pic:spPr>
                    <a:xfrm>
                      <a:off x="0" y="0"/>
                      <a:ext cx="6035040" cy="3701491"/>
                    </a:xfrm>
                    <a:prstGeom prst="rect"/>
                  </pic:spPr>
                </pic:pic>
              </a:graphicData>
            </a:graphic>
          </wp:inline>
        </w:drawing>
      </w:r>
    </w:p>
    <w:p>
      <w:pPr>
        <w:spacing w:before="280"/>
        <w:jc w:val="center"/>
      </w:pPr>
      <w:r>
        <w:rPr>
          <w:b/>
          <w:color w:val="17112F"/>
          <w:sz w:val="23"/>
        </w:rPr>
        <w:t>Created and maintained by Soh Wei Yu</w:t>
      </w:r>
    </w:p>
    <w:p>
      <w:pPr>
        <w:jc w:val="center"/>
      </w:pPr>
      <w:r>
        <w:rPr>
          <w:sz w:val="20"/>
        </w:rPr>
        <w:t>Free to use. Optional PayPal support: sohweiyu@outlook.com</w:t>
      </w:r>
    </w:p>
    <w:p>
      <w:pPr>
        <w:jc w:val="center"/>
      </w:pPr>
      <w:hyperlink r:id="rId12">
        <w:r>
          <w:rPr>
            <w:color w:val="2F66A2"/>
            <w:u w:val="single"/>
          </w:rPr>
          <w:t>Awakening to Reality - www.awakeningtoreality.com</w:t>
        </w:r>
      </w:hyperlink>
    </w:p>
    <w:p>
      <w:pPr>
        <w:jc w:val="center"/>
      </w:pPr>
      <w:r>
        <w:rPr>
          <w:i/>
          <w:color w:val="6B637D"/>
          <w:sz w:val="17"/>
        </w:rPr>
        <w:t>Independent software. Not affiliated with or endorsed by OpenAI.</w:t>
      </w:r>
    </w:p>
    <w:p>
      <w:r/>
    </w:p>
    <w:p>
      <w:pPr>
        <w:pStyle w:val="TitlePageHeading"/>
      </w:pPr>
      <w:r>
        <w:t>How to use this manual</w:t>
      </w:r>
    </w:p>
    <w:p>
      <w:pPr>
        <w:pStyle w:val="SubtitleText"/>
      </w:pPr>
      <w:r>
        <w:t>Start with pages 2-8 for normal use. Pages 9-16 cover recovery, security, development, and release verification.</w:t>
      </w:r>
    </w:p>
    <w:tbl>
      <w:tblPr>
        <w:tblStyle w:val="TableGrid"/>
        <w:tblW w:type="auto" w:w="0"/>
        <w:jc w:val="center"/>
        <w:tblLook w:firstColumn="1" w:firstRow="1" w:lastColumn="0" w:lastRow="0" w:noHBand="0" w:noVBand="1" w:val="04A0"/>
      </w:tblPr>
      <w:tr>
        <w:trPr>
          <w:tblHeader/>
          <w:cantSplit/>
        </w:trPr>
        <w:tc>
          <w:tcPr>
            <w:tcW w:type="dxa" w:w="5112"/>
            <w:shd w:fill="1A1233"/>
          </w:tcPr>
          <w:p>
            <w:pPr>
              <w:jc w:val="center"/>
            </w:pPr>
            <w:r>
              <w:rPr>
                <w:b/>
                <w:color w:val="FFFFFF"/>
                <w:sz w:val="20"/>
              </w:rPr>
              <w:t>Page</w:t>
            </w:r>
          </w:p>
        </w:tc>
        <w:tc>
          <w:tcPr>
            <w:tcW w:type="dxa" w:w="5112"/>
            <w:shd w:fill="1A1233"/>
          </w:tcPr>
          <w:p>
            <w:pPr>
              <w:jc w:val="center"/>
            </w:pPr>
            <w:r>
              <w:rPr>
                <w:b/>
                <w:color w:val="FFFFFF"/>
                <w:sz w:val="20"/>
              </w:rPr>
              <w:t>Section</w:t>
            </w:r>
          </w:p>
        </w:tc>
      </w:tr>
      <w:tblGrid>
        <w:gridCol w:w="5112"/>
        <w:gridCol w:w="5112"/>
      </w:tblGrid>
      <w:tr>
        <w:trPr>
          <w:cantSplit/>
        </w:trPr>
        <w:tc>
          <w:tcPr>
            <w:tcW w:type="dxa" w:w="792"/>
            <w:tcMar>
              <w:top w:w="100" w:type="dxa"/>
              <w:start w:w="100" w:type="dxa"/>
              <w:bottom w:w="100" w:type="dxa"/>
              <w:end w:w="100" w:type="dxa"/>
            </w:tcMar>
            <w:shd w:fill="17112F"/>
          </w:tcPr>
          <w:p>
            <w:pPr>
              <w:jc w:val="center"/>
            </w:pPr>
            <w:r>
              <w:rPr>
                <w:b/>
                <w:color w:val="FFFFFF"/>
              </w:rPr>
              <w:t>2</w:t>
            </w:r>
          </w:p>
        </w:tc>
        <w:tc>
          <w:tcPr>
            <w:tcW w:type="dxa" w:w="5112"/>
            <w:tcMar>
              <w:top w:w="100" w:type="dxa"/>
              <w:start w:w="130" w:type="dxa"/>
              <w:bottom w:w="100" w:type="dxa"/>
              <w:end w:w="130" w:type="dxa"/>
            </w:tcMar>
          </w:tcPr>
          <w:p>
            <w:r>
              <w:t>Quick start</w:t>
            </w:r>
          </w:p>
        </w:tc>
      </w:tr>
      <w:tr>
        <w:trPr>
          <w:cantSplit/>
        </w:trPr>
        <w:tc>
          <w:tcPr>
            <w:tcW w:type="dxa" w:w="792"/>
            <w:tcMar>
              <w:top w:w="100" w:type="dxa"/>
              <w:start w:w="100" w:type="dxa"/>
              <w:bottom w:w="100" w:type="dxa"/>
              <w:end w:w="100" w:type="dxa"/>
            </w:tcMar>
            <w:shd w:fill="17112F"/>
          </w:tcPr>
          <w:p>
            <w:pPr>
              <w:jc w:val="center"/>
            </w:pPr>
            <w:r>
              <w:rPr>
                <w:b/>
                <w:color w:val="FFFFFF"/>
              </w:rPr>
              <w:t>3</w:t>
            </w:r>
          </w:p>
        </w:tc>
        <w:tc>
          <w:tcPr>
            <w:tcW w:type="dxa" w:w="5112"/>
            <w:tcMar>
              <w:top w:w="100" w:type="dxa"/>
              <w:start w:w="130" w:type="dxa"/>
              <w:bottom w:w="100" w:type="dxa"/>
              <w:end w:w="130" w:type="dxa"/>
            </w:tcMar>
          </w:tcPr>
          <w:p>
            <w:r>
              <w:t>Interface tour</w:t>
            </w:r>
          </w:p>
        </w:tc>
      </w:tr>
      <w:tr>
        <w:trPr>
          <w:cantSplit/>
        </w:trPr>
        <w:tc>
          <w:tcPr>
            <w:tcW w:type="dxa" w:w="792"/>
            <w:tcMar>
              <w:top w:w="100" w:type="dxa"/>
              <w:start w:w="100" w:type="dxa"/>
              <w:bottom w:w="100" w:type="dxa"/>
              <w:end w:w="100" w:type="dxa"/>
            </w:tcMar>
            <w:shd w:fill="17112F"/>
          </w:tcPr>
          <w:p>
            <w:pPr>
              <w:jc w:val="center"/>
            </w:pPr>
            <w:r>
              <w:rPr>
                <w:b/>
                <w:color w:val="FFFFFF"/>
              </w:rPr>
              <w:t>4</w:t>
            </w:r>
          </w:p>
        </w:tc>
        <w:tc>
          <w:tcPr>
            <w:tcW w:type="dxa" w:w="5112"/>
            <w:tcMar>
              <w:top w:w="100" w:type="dxa"/>
              <w:start w:w="130" w:type="dxa"/>
              <w:bottom w:w="100" w:type="dxa"/>
              <w:end w:w="130" w:type="dxa"/>
            </w:tcMar>
          </w:tcPr>
          <w:p>
            <w:r>
              <w:t>API key and model access</w:t>
            </w:r>
          </w:p>
        </w:tc>
      </w:tr>
      <w:tr>
        <w:trPr>
          <w:cantSplit/>
        </w:trPr>
        <w:tc>
          <w:tcPr>
            <w:tcW w:type="dxa" w:w="792"/>
            <w:tcMar>
              <w:top w:w="100" w:type="dxa"/>
              <w:start w:w="100" w:type="dxa"/>
              <w:bottom w:w="100" w:type="dxa"/>
              <w:end w:w="100" w:type="dxa"/>
            </w:tcMar>
            <w:shd w:fill="17112F"/>
          </w:tcPr>
          <w:p>
            <w:pPr>
              <w:jc w:val="center"/>
            </w:pPr>
            <w:r>
              <w:rPr>
                <w:b/>
                <w:color w:val="FFFFFF"/>
              </w:rPr>
              <w:t>5</w:t>
            </w:r>
          </w:p>
        </w:tc>
        <w:tc>
          <w:tcPr>
            <w:tcW w:type="dxa" w:w="5112"/>
            <w:tcMar>
              <w:top w:w="100" w:type="dxa"/>
              <w:start w:w="130" w:type="dxa"/>
              <w:bottom w:w="100" w:type="dxa"/>
              <w:end w:w="130" w:type="dxa"/>
            </w:tcMar>
          </w:tcPr>
          <w:p>
            <w:r>
              <w:t>Adding MP3 files and fixing drag-and-drop</w:t>
            </w:r>
          </w:p>
        </w:tc>
      </w:tr>
      <w:tr>
        <w:trPr>
          <w:cantSplit/>
        </w:trPr>
        <w:tc>
          <w:tcPr>
            <w:tcW w:type="dxa" w:w="792"/>
            <w:tcMar>
              <w:top w:w="100" w:type="dxa"/>
              <w:start w:w="100" w:type="dxa"/>
              <w:bottom w:w="100" w:type="dxa"/>
              <w:end w:w="100" w:type="dxa"/>
            </w:tcMar>
            <w:shd w:fill="17112F"/>
          </w:tcPr>
          <w:p>
            <w:pPr>
              <w:jc w:val="center"/>
            </w:pPr>
            <w:r>
              <w:rPr>
                <w:b/>
                <w:color w:val="FFFFFF"/>
              </w:rPr>
              <w:t>6</w:t>
            </w:r>
          </w:p>
        </w:tc>
        <w:tc>
          <w:tcPr>
            <w:tcW w:type="dxa" w:w="5112"/>
            <w:tcMar>
              <w:top w:w="100" w:type="dxa"/>
              <w:start w:w="130" w:type="dxa"/>
              <w:bottom w:w="100" w:type="dxa"/>
              <w:end w:w="130" w:type="dxa"/>
            </w:tcMar>
          </w:tcPr>
          <w:p>
            <w:r>
              <w:t>Output and transcription settings</w:t>
            </w:r>
          </w:p>
        </w:tc>
      </w:tr>
      <w:tr>
        <w:trPr>
          <w:cantSplit/>
        </w:trPr>
        <w:tc>
          <w:tcPr>
            <w:tcW w:type="dxa" w:w="792"/>
            <w:tcMar>
              <w:top w:w="100" w:type="dxa"/>
              <w:start w:w="100" w:type="dxa"/>
              <w:bottom w:w="100" w:type="dxa"/>
              <w:end w:w="100" w:type="dxa"/>
            </w:tcMar>
            <w:shd w:fill="17112F"/>
          </w:tcPr>
          <w:p>
            <w:pPr>
              <w:jc w:val="center"/>
            </w:pPr>
            <w:r>
              <w:rPr>
                <w:b/>
                <w:color w:val="FFFFFF"/>
              </w:rPr>
              <w:t>7</w:t>
            </w:r>
          </w:p>
        </w:tc>
        <w:tc>
          <w:tcPr>
            <w:tcW w:type="dxa" w:w="5112"/>
            <w:tcMar>
              <w:top w:w="100" w:type="dxa"/>
              <w:start w:w="130" w:type="dxa"/>
              <w:bottom w:w="100" w:type="dxa"/>
              <w:end w:w="130" w:type="dxa"/>
            </w:tcMar>
          </w:tcPr>
          <w:p>
            <w:r>
              <w:t>Running, progress, cancellation, and close</w:t>
            </w:r>
          </w:p>
        </w:tc>
      </w:tr>
      <w:tr>
        <w:trPr>
          <w:cantSplit/>
        </w:trPr>
        <w:tc>
          <w:tcPr>
            <w:tcW w:type="dxa" w:w="792"/>
            <w:tcMar>
              <w:top w:w="100" w:type="dxa"/>
              <w:start w:w="100" w:type="dxa"/>
              <w:bottom w:w="100" w:type="dxa"/>
              <w:end w:w="100" w:type="dxa"/>
            </w:tcMar>
            <w:shd w:fill="17112F"/>
          </w:tcPr>
          <w:p>
            <w:pPr>
              <w:jc w:val="center"/>
            </w:pPr>
            <w:r>
              <w:rPr>
                <w:b/>
                <w:color w:val="FFFFFF"/>
              </w:rPr>
              <w:t>8</w:t>
            </w:r>
          </w:p>
        </w:tc>
        <w:tc>
          <w:tcPr>
            <w:tcW w:type="dxa" w:w="5112"/>
            <w:tcMar>
              <w:top w:w="100" w:type="dxa"/>
              <w:start w:w="130" w:type="dxa"/>
              <w:bottom w:w="100" w:type="dxa"/>
              <w:end w:w="130" w:type="dxa"/>
            </w:tcMar>
          </w:tcPr>
          <w:p>
            <w:r>
              <w:t>Checkpoints, resume, and billing safety</w:t>
            </w:r>
          </w:p>
        </w:tc>
      </w:tr>
      <w:tr>
        <w:trPr>
          <w:cantSplit/>
        </w:trPr>
        <w:tc>
          <w:tcPr>
            <w:tcW w:type="dxa" w:w="792"/>
            <w:tcMar>
              <w:top w:w="100" w:type="dxa"/>
              <w:start w:w="100" w:type="dxa"/>
              <w:bottom w:w="100" w:type="dxa"/>
              <w:end w:w="100" w:type="dxa"/>
            </w:tcMar>
            <w:shd w:fill="17112F"/>
          </w:tcPr>
          <w:p>
            <w:pPr>
              <w:jc w:val="center"/>
            </w:pPr>
            <w:r>
              <w:rPr>
                <w:b/>
                <w:color w:val="FFFFFF"/>
              </w:rPr>
              <w:t>8</w:t>
            </w:r>
          </w:p>
        </w:tc>
        <w:tc>
          <w:tcPr>
            <w:tcW w:type="dxa" w:w="5112"/>
            <w:tcMar>
              <w:top w:w="100" w:type="dxa"/>
              <w:start w:w="130" w:type="dxa"/>
              <w:bottom w:w="100" w:type="dxa"/>
              <w:end w:w="130" w:type="dxa"/>
            </w:tcMar>
          </w:tcPr>
          <w:p>
            <w:r>
              <w:t>Outputs and merge behaviour</w:t>
            </w:r>
          </w:p>
        </w:tc>
      </w:tr>
      <w:tr>
        <w:trPr>
          <w:cantSplit/>
        </w:trPr>
        <w:tc>
          <w:tcPr>
            <w:tcW w:type="dxa" w:w="792"/>
            <w:tcMar>
              <w:top w:w="100" w:type="dxa"/>
              <w:start w:w="100" w:type="dxa"/>
              <w:bottom w:w="100" w:type="dxa"/>
              <w:end w:w="100" w:type="dxa"/>
            </w:tcMar>
            <w:shd w:fill="17112F"/>
          </w:tcPr>
          <w:p>
            <w:pPr>
              <w:jc w:val="center"/>
            </w:pPr>
            <w:r>
              <w:rPr>
                <w:b/>
                <w:color w:val="FFFFFF"/>
              </w:rPr>
              <w:t>9</w:t>
            </w:r>
          </w:p>
        </w:tc>
        <w:tc>
          <w:tcPr>
            <w:tcW w:type="dxa" w:w="5112"/>
            <w:tcMar>
              <w:top w:w="100" w:type="dxa"/>
              <w:start w:w="130" w:type="dxa"/>
              <w:bottom w:w="100" w:type="dxa"/>
              <w:end w:w="130" w:type="dxa"/>
            </w:tcMar>
          </w:tcPr>
          <w:p>
            <w:r>
              <w:t>Startup and drag/drop troubleshooting</w:t>
            </w:r>
          </w:p>
        </w:tc>
      </w:tr>
      <w:tr>
        <w:trPr>
          <w:cantSplit/>
        </w:trPr>
        <w:tc>
          <w:tcPr>
            <w:tcW w:type="dxa" w:w="792"/>
            <w:tcMar>
              <w:top w:w="100" w:type="dxa"/>
              <w:start w:w="100" w:type="dxa"/>
              <w:bottom w:w="100" w:type="dxa"/>
              <w:end w:w="100" w:type="dxa"/>
            </w:tcMar>
            <w:shd w:fill="17112F"/>
          </w:tcPr>
          <w:p>
            <w:pPr>
              <w:jc w:val="center"/>
            </w:pPr>
            <w:r>
              <w:rPr>
                <w:b/>
                <w:color w:val="FFFFFF"/>
              </w:rPr>
              <w:t>10</w:t>
            </w:r>
          </w:p>
        </w:tc>
        <w:tc>
          <w:tcPr>
            <w:tcW w:type="dxa" w:w="5112"/>
            <w:tcMar>
              <w:top w:w="100" w:type="dxa"/>
              <w:start w:w="130" w:type="dxa"/>
              <w:bottom w:w="100" w:type="dxa"/>
              <w:end w:w="130" w:type="dxa"/>
            </w:tcMar>
          </w:tcPr>
          <w:p>
            <w:r>
              <w:t>API, audio, checkpoint, and output troubleshooting</w:t>
            </w:r>
          </w:p>
        </w:tc>
      </w:tr>
      <w:tr>
        <w:trPr>
          <w:cantSplit/>
        </w:trPr>
        <w:tc>
          <w:tcPr>
            <w:tcW w:type="dxa" w:w="792"/>
            <w:tcMar>
              <w:top w:w="100" w:type="dxa"/>
              <w:start w:w="100" w:type="dxa"/>
              <w:bottom w:w="100" w:type="dxa"/>
              <w:end w:w="100" w:type="dxa"/>
            </w:tcMar>
            <w:shd w:fill="17112F"/>
          </w:tcPr>
          <w:p>
            <w:pPr>
              <w:jc w:val="center"/>
            </w:pPr>
            <w:r>
              <w:rPr>
                <w:b/>
                <w:color w:val="FFFFFF"/>
              </w:rPr>
              <w:t>11</w:t>
            </w:r>
          </w:p>
        </w:tc>
        <w:tc>
          <w:tcPr>
            <w:tcW w:type="dxa" w:w="5112"/>
            <w:tcMar>
              <w:top w:w="100" w:type="dxa"/>
              <w:start w:w="130" w:type="dxa"/>
              <w:bottom w:w="100" w:type="dxa"/>
              <w:end w:w="130" w:type="dxa"/>
            </w:tcMar>
          </w:tcPr>
          <w:p>
            <w:r>
              <w:t>Privacy, security, and logs</w:t>
            </w:r>
          </w:p>
        </w:tc>
      </w:tr>
      <w:tr>
        <w:trPr>
          <w:cantSplit/>
        </w:trPr>
        <w:tc>
          <w:tcPr>
            <w:tcW w:type="dxa" w:w="792"/>
            <w:tcMar>
              <w:top w:w="100" w:type="dxa"/>
              <w:start w:w="100" w:type="dxa"/>
              <w:bottom w:w="100" w:type="dxa"/>
              <w:end w:w="100" w:type="dxa"/>
            </w:tcMar>
            <w:shd w:fill="17112F"/>
          </w:tcPr>
          <w:p>
            <w:pPr>
              <w:jc w:val="center"/>
            </w:pPr>
            <w:r>
              <w:rPr>
                <w:b/>
                <w:color w:val="FFFFFF"/>
              </w:rPr>
              <w:t>12</w:t>
            </w:r>
          </w:p>
        </w:tc>
        <w:tc>
          <w:tcPr>
            <w:tcW w:type="dxa" w:w="5112"/>
            <w:tcMar>
              <w:top w:w="100" w:type="dxa"/>
              <w:start w:w="130" w:type="dxa"/>
              <w:bottom w:w="100" w:type="dxa"/>
              <w:end w:w="130" w:type="dxa"/>
            </w:tcMar>
          </w:tcPr>
          <w:p>
            <w:r>
              <w:t>Build, run, diagnostic, and publish</w:t>
            </w:r>
          </w:p>
        </w:tc>
      </w:tr>
      <w:tr>
        <w:trPr>
          <w:cantSplit/>
        </w:trPr>
        <w:tc>
          <w:tcPr>
            <w:tcW w:type="dxa" w:w="792"/>
            <w:tcMar>
              <w:top w:w="100" w:type="dxa"/>
              <w:start w:w="100" w:type="dxa"/>
              <w:bottom w:w="100" w:type="dxa"/>
              <w:end w:w="100" w:type="dxa"/>
            </w:tcMar>
            <w:shd w:fill="17112F"/>
          </w:tcPr>
          <w:p>
            <w:pPr>
              <w:jc w:val="center"/>
            </w:pPr>
            <w:r>
              <w:rPr>
                <w:b/>
                <w:color w:val="FFFFFF"/>
              </w:rPr>
              <w:t>12</w:t>
            </w:r>
          </w:p>
        </w:tc>
        <w:tc>
          <w:tcPr>
            <w:tcW w:type="dxa" w:w="5112"/>
            <w:tcMar>
              <w:top w:w="100" w:type="dxa"/>
              <w:start w:w="130" w:type="dxa"/>
              <w:bottom w:w="100" w:type="dxa"/>
              <w:end w:w="130" w:type="dxa"/>
            </w:tcMar>
          </w:tcPr>
          <w:p>
            <w:r>
              <w:t>Developer architecture</w:t>
            </w:r>
          </w:p>
        </w:tc>
      </w:tr>
      <w:tr>
        <w:trPr>
          <w:cantSplit/>
        </w:trPr>
        <w:tc>
          <w:tcPr>
            <w:tcW w:type="dxa" w:w="792"/>
            <w:tcMar>
              <w:top w:w="100" w:type="dxa"/>
              <w:start w:w="100" w:type="dxa"/>
              <w:bottom w:w="100" w:type="dxa"/>
              <w:end w:w="100" w:type="dxa"/>
            </w:tcMar>
            <w:shd w:fill="17112F"/>
          </w:tcPr>
          <w:p>
            <w:pPr>
              <w:jc w:val="center"/>
            </w:pPr>
            <w:r>
              <w:rPr>
                <w:b/>
                <w:color w:val="FFFFFF"/>
              </w:rPr>
              <w:t>13</w:t>
            </w:r>
          </w:p>
        </w:tc>
        <w:tc>
          <w:tcPr>
            <w:tcW w:type="dxa" w:w="5112"/>
            <w:tcMar>
              <w:top w:w="100" w:type="dxa"/>
              <w:start w:w="130" w:type="dxa"/>
              <w:bottom w:w="100" w:type="dxa"/>
              <w:end w:w="130" w:type="dxa"/>
            </w:tcMar>
          </w:tcPr>
          <w:p>
            <w:r>
              <w:t>Adversarial safety invariants</w:t>
            </w:r>
          </w:p>
        </w:tc>
      </w:tr>
      <w:tr>
        <w:trPr>
          <w:cantSplit/>
        </w:trPr>
        <w:tc>
          <w:tcPr>
            <w:tcW w:type="dxa" w:w="792"/>
            <w:tcMar>
              <w:top w:w="100" w:type="dxa"/>
              <w:start w:w="100" w:type="dxa"/>
              <w:bottom w:w="100" w:type="dxa"/>
              <w:end w:w="100" w:type="dxa"/>
            </w:tcMar>
            <w:shd w:fill="17112F"/>
          </w:tcPr>
          <w:p>
            <w:pPr>
              <w:jc w:val="center"/>
            </w:pPr>
            <w:r>
              <w:rPr>
                <w:b/>
                <w:color w:val="FFFFFF"/>
              </w:rPr>
              <w:t>14</w:t>
            </w:r>
          </w:p>
        </w:tc>
        <w:tc>
          <w:tcPr>
            <w:tcW w:type="dxa" w:w="5112"/>
            <w:tcMar>
              <w:top w:w="100" w:type="dxa"/>
              <w:start w:w="130" w:type="dxa"/>
              <w:bottom w:w="100" w:type="dxa"/>
              <w:end w:w="130" w:type="dxa"/>
            </w:tcMar>
          </w:tcPr>
          <w:p>
            <w:r>
              <w:t>Verification evidence and release gate</w:t>
            </w:r>
          </w:p>
        </w:tc>
      </w:tr>
      <w:tr>
        <w:trPr>
          <w:cantSplit/>
        </w:trPr>
        <w:tc>
          <w:tcPr>
            <w:tcW w:type="dxa" w:w="792"/>
            <w:tcMar>
              <w:top w:w="100" w:type="dxa"/>
              <w:start w:w="100" w:type="dxa"/>
              <w:bottom w:w="100" w:type="dxa"/>
              <w:end w:w="100" w:type="dxa"/>
            </w:tcMar>
            <w:shd w:fill="17112F"/>
          </w:tcPr>
          <w:p>
            <w:pPr>
              <w:jc w:val="center"/>
            </w:pPr>
            <w:r>
              <w:rPr>
                <w:b/>
                <w:color w:val="FFFFFF"/>
              </w:rPr>
              <w:t>15</w:t>
            </w:r>
          </w:p>
        </w:tc>
        <w:tc>
          <w:tcPr>
            <w:tcW w:type="dxa" w:w="5112"/>
            <w:tcMar>
              <w:top w:w="100" w:type="dxa"/>
              <w:start w:w="130" w:type="dxa"/>
              <w:bottom w:w="100" w:type="dxa"/>
              <w:end w:w="130" w:type="dxa"/>
            </w:tcMar>
          </w:tcPr>
          <w:p>
            <w:r>
              <w:t>Windows acceptance checklist</w:t>
            </w:r>
          </w:p>
        </w:tc>
      </w:tr>
      <w:tr>
        <w:trPr>
          <w:cantSplit/>
        </w:trPr>
        <w:tc>
          <w:tcPr>
            <w:tcW w:type="dxa" w:w="792"/>
            <w:tcMar>
              <w:top w:w="100" w:type="dxa"/>
              <w:start w:w="100" w:type="dxa"/>
              <w:bottom w:w="100" w:type="dxa"/>
              <w:end w:w="100" w:type="dxa"/>
            </w:tcMar>
            <w:shd w:fill="17112F"/>
          </w:tcPr>
          <w:p>
            <w:pPr>
              <w:jc w:val="center"/>
            </w:pPr>
            <w:r>
              <w:rPr>
                <w:b/>
                <w:color w:val="FFFFFF"/>
              </w:rPr>
              <w:t>16</w:t>
            </w:r>
          </w:p>
        </w:tc>
        <w:tc>
          <w:tcPr>
            <w:tcW w:type="dxa" w:w="5112"/>
            <w:tcMar>
              <w:top w:w="100" w:type="dxa"/>
              <w:start w:w="130" w:type="dxa"/>
              <w:bottom w:w="100" w:type="dxa"/>
              <w:end w:w="130" w:type="dxa"/>
            </w:tcMar>
          </w:tcPr>
          <w:p>
            <w:r>
              <w:t>About/support</w:t>
            </w:r>
          </w:p>
        </w:tc>
      </w:tr>
    </w:tbl>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FCECEE"/>
            <w:tcMar>
              <w:top w:w="130" w:type="dxa"/>
              <w:start w:w="170" w:type="dxa"/>
              <w:bottom w:w="130" w:type="dxa"/>
              <w:end w:w="170" w:type="dxa"/>
            </w:tcMar>
          </w:tcPr>
          <w:p>
            <w:pPr>
              <w:spacing w:after="0"/>
            </w:pPr>
            <w:r>
              <w:rPr>
                <w:b/>
                <w:color w:val="A83B4B"/>
              </w:rPr>
              <w:t xml:space="preserve">Evidence boundary: </w:t>
            </w:r>
            <w:r>
              <w:t>The source, deterministic media tests, documentation, and package integrity are audited here. A real Windows build, native Explorer drag-and-drop test, high-DPI review, and live paid API request still require Windows acceptance testing.</w:t>
            </w:r>
          </w:p>
        </w:tc>
      </w:tr>
    </w:tbl>
    <w:p>
      <w:r/>
    </w:p>
    <w:p>
      <w:pPr>
        <w:pStyle w:val="TitlePageHeading"/>
      </w:pPr>
      <w:r>
        <w:t>Quick start</w:t>
      </w:r>
    </w:p>
    <w:p>
      <w:pPr>
        <w:pStyle w:val="SubtitleText"/>
      </w:pPr>
      <w:r>
        <w:t>A safe first transcription in about ten steps.</w:t>
      </w:r>
    </w:p>
    <w:p>
      <w:pPr>
        <w:pStyle w:val="BodyText"/>
        <w:ind w:left="403" w:hanging="403"/>
      </w:pPr>
      <w:r>
        <w:rPr>
          <w:b/>
        </w:rPr>
        <w:t xml:space="preserve">1. </w:t>
      </w:r>
      <w:r>
        <w:t>Extract the ZIP to a normal writable folder. Do not run from inside the ZIP.</w:t>
      </w:r>
    </w:p>
    <w:p>
      <w:pPr>
        <w:pStyle w:val="BodyText"/>
        <w:ind w:left="403" w:hanging="403"/>
      </w:pPr>
      <w:r>
        <w:rPr>
          <w:b/>
        </w:rPr>
        <w:t xml:space="preserve">2. </w:t>
      </w:r>
      <w:r>
        <w:t>Run BUILD.cmd. This is the mandatory C# compiler gate; install the current .NET 10 SDK if the script reports that it is missing. Version 1.0.27 fixes the prior CS0103 diarization-local build blocker.</w:t>
      </w:r>
    </w:p>
    <w:p>
      <w:pPr>
        <w:pStyle w:val="BodyText"/>
        <w:ind w:left="403" w:hanging="403"/>
      </w:pPr>
      <w:r>
        <w:rPr>
          <w:b/>
        </w:rPr>
        <w:t xml:space="preserve">3. </w:t>
      </w:r>
      <w:r>
        <w:t>Launch with RUN.cmd or the Release EXE. Do not use Run as administrator.</w:t>
      </w:r>
    </w:p>
    <w:p>
      <w:pPr>
        <w:pStyle w:val="BodyText"/>
        <w:ind w:left="403" w:hanging="403"/>
      </w:pPr>
      <w:r>
        <w:rPr>
          <w:b/>
        </w:rPr>
        <w:t xml:space="preserve">4. </w:t>
      </w:r>
      <w:r>
        <w:t>Choose API key in the header and paste your OpenAI API key.</w:t>
      </w:r>
    </w:p>
    <w:p>
      <w:pPr>
        <w:pStyle w:val="BodyText"/>
        <w:ind w:left="403" w:hanging="403"/>
      </w:pPr>
      <w:r>
        <w:rPr>
          <w:b/>
        </w:rPr>
        <w:t xml:space="preserve">5. </w:t>
      </w:r>
      <w:r>
        <w:t>Select a model and choose Test connection. This test does not transcribe audio.</w:t>
      </w:r>
    </w:p>
    <w:p>
      <w:pPr>
        <w:pStyle w:val="BodyText"/>
        <w:ind w:left="403" w:hanging="403"/>
      </w:pPr>
      <w:r>
        <w:rPr>
          <w:b/>
        </w:rPr>
        <w:t xml:space="preserve">6. </w:t>
      </w:r>
      <w:r>
        <w:t>Add MP3 files using Files, Folder, drag-and-drop anywhere in the idle window, or Paste/Ctrl+V.</w:t>
      </w:r>
    </w:p>
    <w:p>
      <w:pPr>
        <w:pStyle w:val="BodyText"/>
        <w:ind w:left="403" w:hanging="403"/>
      </w:pPr>
      <w:r>
        <w:rPr>
          <w:b/>
        </w:rPr>
        <w:t xml:space="preserve">7. </w:t>
      </w:r>
      <w:r>
        <w:t>Choose a writable output folder and enable TXT, Markdown, or both.</w:t>
      </w:r>
    </w:p>
    <w:p>
      <w:pPr>
        <w:pStyle w:val="BodyText"/>
        <w:ind w:left="403" w:hanging="403"/>
      </w:pPr>
      <w:r>
        <w:t>8. Review model, language hints, keyword hints, recording context, chunk size, maximum duration, context, retries, and export settings. Valid changes save automatically after a short pause.</w:t>
      </w:r>
    </w:p>
    <w:p>
      <w:pPr>
        <w:pStyle w:val="BodyText"/>
        <w:ind w:left="403" w:hanging="403"/>
      </w:pPr>
      <w:r>
        <w:rPr>
          <w:b/>
        </w:rPr>
        <w:t xml:space="preserve">9. </w:t>
      </w:r>
      <w:r>
        <w:t>Choose Start transcription and monitor the persistent footer progress bar.</w:t>
      </w:r>
    </w:p>
    <w:p>
      <w:pPr>
        <w:pStyle w:val="BodyText"/>
        <w:ind w:left="403" w:hanging="403"/>
      </w:pPr>
      <w:r>
        <w:t>10. When the run finishes, use the themed completion window to review the result and choose Open output folder. Existing transcript files are never overwritten.</w:t>
      </w:r>
    </w:p>
    <w:p>
      <w:pPr>
        <w:pStyle w:val="BodyText"/>
      </w:pPr>
      <w:r>
        <w:t>Settings autosave: output, model, guidance, chunk, retry, export, merge, theme, and price options save after a short pause. The queue and session-only API key are intentionally not restored.</w:t>
      </w:r>
    </w:p>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FFF0BF"/>
            <w:tcMar>
              <w:top w:w="130" w:type="dxa"/>
              <w:start w:w="170" w:type="dxa"/>
              <w:bottom w:w="130" w:type="dxa"/>
              <w:end w:w="170" w:type="dxa"/>
            </w:tcMar>
          </w:tcPr>
          <w:p>
            <w:r>
              <w:t>Recommended first test: Use one short, non-sensitive MP3. Keep retries at the safe default of 0 until the key, model access, output folder, and billing behaviour have been confirmed.</w:t>
            </w:r>
          </w:p>
        </w:tc>
      </w:tr>
    </w:tbl>
    <w:p>
      <w:pPr>
        <w:pStyle w:val="Heading2"/>
      </w:pPr>
      <w:r>
        <w:t>What you need</w:t>
      </w:r>
    </w:p>
    <w:tbl>
      <w:tblPr>
        <w:tblStyle w:val="TableGrid"/>
        <w:tblW w:type="auto" w:w="0"/>
        <w:jc w:val="center"/>
        <w:tblLook w:firstColumn="1" w:firstRow="1" w:lastColumn="0" w:lastRow="0" w:noHBand="0" w:noVBand="1" w:val="04A0"/>
      </w:tblPr>
      <w:tblGrid>
        <w:gridCol w:w="5112"/>
        <w:gridCol w:w="5112"/>
      </w:tblGrid>
      <w:tr>
        <w:trPr>
          <w:tblHeader w:val="true"/>
          <w:cantSplit/>
        </w:trPr>
        <w:tc>
          <w:tcPr>
            <w:tcW w:type="dxa" w:w="5112"/>
            <w:tcMar>
              <w:top w:w="90" w:type="dxa"/>
              <w:start w:w="110" w:type="dxa"/>
              <w:bottom w:w="90" w:type="dxa"/>
              <w:end w:w="110" w:type="dxa"/>
            </w:tcMar>
            <w:shd w:fill="F5F3F9"/>
          </w:tcPr>
          <w:p>
            <w:r>
              <w:rPr>
                <w:b/>
                <w:color w:val="231D31"/>
              </w:rPr>
              <w:t>Operating system</w:t>
            </w:r>
          </w:p>
        </w:tc>
        <w:tc>
          <w:tcPr>
            <w:tcW w:type="dxa" w:w="5112"/>
            <w:tcMar>
              <w:top w:w="90" w:type="dxa"/>
              <w:start w:w="110" w:type="dxa"/>
              <w:bottom w:w="90" w:type="dxa"/>
              <w:end w:w="110" w:type="dxa"/>
            </w:tcMar>
          </w:tcPr>
          <w:p>
            <w:r>
              <w:t>Windows 10 build 19041 or later, or a compatible Windows 11 release.</w:t>
            </w:r>
          </w:p>
        </w:tc>
      </w:tr>
      <w:tr>
        <w:trPr>
          <w:cantSplit/>
        </w:trPr>
        <w:tc>
          <w:tcPr>
            <w:tcW w:type="dxa" w:w="5112"/>
            <w:tcMar>
              <w:top w:w="90" w:type="dxa"/>
              <w:start w:w="110" w:type="dxa"/>
              <w:bottom w:w="90" w:type="dxa"/>
              <w:end w:w="110" w:type="dxa"/>
            </w:tcMar>
            <w:shd w:fill="F5F3F9"/>
          </w:tcPr>
          <w:p>
            <w:r>
              <w:rPr>
                <w:b/>
                <w:color w:val="231D31"/>
              </w:rPr>
              <w:t>Source build</w:t>
            </w:r>
          </w:p>
        </w:tc>
        <w:tc>
          <w:tcPr>
            <w:tcW w:type="dxa" w:w="5112"/>
            <w:tcMar>
              <w:top w:w="90" w:type="dxa"/>
              <w:start w:w="110" w:type="dxa"/>
              <w:bottom w:w="90" w:type="dxa"/>
              <w:end w:w="110" w:type="dxa"/>
            </w:tcMar>
          </w:tcPr>
          <w:p>
            <w:r>
              <w:t>A compatible .NET 10 SDK; global.json requests 10.0.302 and allows compatible later .NET 10 feature bands.</w:t>
            </w:r>
          </w:p>
        </w:tc>
      </w:tr>
      <w:tr>
        <w:trPr>
          <w:cantSplit/>
        </w:trPr>
        <w:tc>
          <w:tcPr>
            <w:tcW w:type="dxa" w:w="5112"/>
            <w:tcMar>
              <w:top w:w="90" w:type="dxa"/>
              <w:start w:w="110" w:type="dxa"/>
              <w:bottom w:w="90" w:type="dxa"/>
              <w:end w:w="110" w:type="dxa"/>
            </w:tcMar>
            <w:shd w:fill="F5F3F9"/>
          </w:tcPr>
          <w:p>
            <w:r>
              <w:rPr>
                <w:b/>
                <w:color w:val="231D31"/>
              </w:rPr>
              <w:t>OpenAI</w:t>
            </w:r>
          </w:p>
        </w:tc>
        <w:tc>
          <w:tcPr>
            <w:tcW w:type="dxa" w:w="5112"/>
            <w:tcMar>
              <w:top w:w="90" w:type="dxa"/>
              <w:start w:w="110" w:type="dxa"/>
              <w:bottom w:w="90" w:type="dxa"/>
              <w:end w:w="110" w:type="dxa"/>
            </w:tcMar>
          </w:tcPr>
          <w:p>
            <w:r>
              <w:t>An API key and API account/project access to the selected transcription model.</w:t>
            </w:r>
          </w:p>
        </w:tc>
      </w:tr>
      <w:tr>
        <w:trPr>
          <w:cantSplit/>
        </w:trPr>
        <w:tc>
          <w:tcPr>
            <w:tcW w:type="dxa" w:w="5112"/>
            <w:tcMar>
              <w:top w:w="90" w:type="dxa"/>
              <w:start w:w="110" w:type="dxa"/>
              <w:bottom w:w="90" w:type="dxa"/>
              <w:end w:w="110" w:type="dxa"/>
            </w:tcMar>
            <w:shd w:fill="F5F3F9"/>
          </w:tcPr>
          <w:p>
            <w:r>
              <w:rPr>
                <w:b/>
                <w:color w:val="231D31"/>
              </w:rPr>
              <w:t>Input</w:t>
            </w:r>
          </w:p>
        </w:tc>
        <w:tc>
          <w:tcPr>
            <w:tcW w:type="dxa" w:w="5112"/>
            <w:tcMar>
              <w:top w:w="90" w:type="dxa"/>
              <w:start w:w="110" w:type="dxa"/>
              <w:bottom w:w="90" w:type="dxa"/>
              <w:end w:w="110" w:type="dxa"/>
            </w:tcMar>
          </w:tcPr>
          <w:p>
            <w:r>
              <w:t>Readable local .mp3 files. Other audio/container formats are not accepted by this release.</w:t>
            </w:r>
          </w:p>
        </w:tc>
      </w:tr>
      <w:tr>
        <w:trPr>
          <w:cantSplit/>
        </w:trPr>
        <w:tc>
          <w:tcPr>
            <w:tcW w:type="dxa" w:w="5112"/>
            <w:tcMar>
              <w:top w:w="90" w:type="dxa"/>
              <w:start w:w="110" w:type="dxa"/>
              <w:bottom w:w="90" w:type="dxa"/>
              <w:end w:w="110" w:type="dxa"/>
            </w:tcMar>
            <w:shd w:fill="F5F3F9"/>
          </w:tcPr>
          <w:p>
            <w:r>
              <w:rPr>
                <w:b/>
                <w:color w:val="231D31"/>
              </w:rPr>
              <w:t>Network</w:t>
            </w:r>
          </w:p>
        </w:tc>
        <w:tc>
          <w:tcPr>
            <w:tcW w:type="dxa" w:w="5112"/>
            <w:tcMar>
              <w:top w:w="90" w:type="dxa"/>
              <w:start w:w="110" w:type="dxa"/>
              <w:bottom w:w="90" w:type="dxa"/>
              <w:end w:w="110" w:type="dxa"/>
            </w:tcMar>
          </w:tcPr>
          <w:p>
            <w:r>
              <w:t>Outbound HTTPS access to the OpenAI API.</w:t>
            </w:r>
          </w:p>
        </w:tc>
      </w:tr>
    </w:tbl>
    <w:p>
      <w:pPr>
        <w:pStyle w:val="Heading2"/>
      </w:pPr>
      <w:r>
        <w:t>Default output</w:t>
      </w:r>
    </w:p>
    <w:p>
      <w:pPr>
        <w:pStyle w:val="BodyText"/>
      </w:pPr>
      <w:r>
        <w:t>The default transcript folder is output beside the executable. You can choose another writable folder. Application logs prefer logs beside the executable and fall back to per-user locations when necessary.</w:t>
      </w:r>
    </w:p>
    <w:p>
      <w:r/>
    </w:p>
    <w:p>
      <w:pPr>
        <w:pStyle w:val="TitlePageHeading"/>
      </w:pPr>
      <w:r>
        <w:t>Interface tour</w:t>
      </w:r>
    </w:p>
    <w:p>
      <w:pPr>
        <w:pStyle w:val="SubtitleText"/>
      </w:pPr>
      <w:r>
        <w:t>The controls most users need are visible without hunting through menus.</w:t>
      </w:r>
    </w:p>
    <w:p>
      <w:pPr>
        <w:jc w:val="center"/>
      </w:pPr>
      <w:r/>
    </w:p>
    <w:p>
      <w:pPr>
        <w:jc w:val="center"/>
      </w:pPr>
      <w:r>
        <w:rPr>
          <w:i/>
        </w:rPr>
        <w:t>Figure 1. Cosmic Transcriber 1.0.27 interface preview.</w:t>
      </w:r>
    </w:p>
    <w:p>
      <w:pPr>
        <w:jc w:val="center"/>
      </w:pPr>
      <w:r/>
    </w:p>
    <w:tbl>
      <w:tblPr>
        <w:tblStyle w:val="TableGrid"/>
        <w:tblW w:type="auto" w:w="0"/>
        <w:jc w:val="center"/>
        <w:tblLook w:firstColumn="1" w:firstRow="1" w:lastColumn="0" w:lastRow="0" w:noHBand="0" w:noVBand="1" w:val="04A0"/>
      </w:tblPr>
      <w:tblGrid>
        <w:gridCol w:w="5112"/>
        <w:gridCol w:w="5112"/>
      </w:tblGrid>
      <w:tr>
        <w:trPr>
          <w:tblHeader w:val="true"/>
          <w:cantSplit/>
        </w:trPr>
        <w:tc>
          <w:tcPr>
            <w:tcW w:type="dxa" w:w="5112"/>
            <w:tcMar>
              <w:top w:w="90" w:type="dxa"/>
              <w:start w:w="110" w:type="dxa"/>
              <w:bottom w:w="90" w:type="dxa"/>
              <w:end w:w="110" w:type="dxa"/>
            </w:tcMar>
            <w:shd w:fill="F5F3F9"/>
          </w:tcPr>
          <w:p>
            <w:r>
              <w:rPr>
                <w:b/>
                <w:color w:val="231D31"/>
              </w:rPr>
              <w:t>Version badge</w:t>
            </w:r>
          </w:p>
        </w:tc>
        <w:tc>
          <w:tcPr>
            <w:tcW w:type="dxa" w:w="5112"/>
            <w:tcMar>
              <w:top w:w="90" w:type="dxa"/>
              <w:start w:w="110" w:type="dxa"/>
              <w:bottom w:w="90" w:type="dxa"/>
              <w:end w:w="110" w:type="dxa"/>
            </w:tcMar>
          </w:tcPr>
          <w:p>
            <w:r>
              <w:t>The header clearly shows v1.0.27; the same runtime version appears in the title, About window, logs, HTTP User-Agent, and assembly metadata.</w:t>
            </w:r>
          </w:p>
        </w:tc>
      </w:tr>
      <w:tr>
        <w:trPr>
          <w:cantSplit/>
        </w:trPr>
        <w:tc>
          <w:tcPr>
            <w:tcW w:type="dxa" w:w="5112"/>
            <w:tcMar>
              <w:top w:w="90" w:type="dxa"/>
              <w:start w:w="110" w:type="dxa"/>
              <w:bottom w:w="90" w:type="dxa"/>
              <w:end w:w="110" w:type="dxa"/>
            </w:tcMar>
            <w:shd w:fill="F5F3F9"/>
          </w:tcPr>
          <w:p>
            <w:r>
              <w:rPr>
                <w:b/>
                <w:color w:val="231D31"/>
              </w:rPr>
              <w:t>Audio queue</w:t>
            </w:r>
          </w:p>
        </w:tc>
        <w:tc>
          <w:tcPr>
            <w:tcW w:type="dxa" w:w="5112"/>
            <w:tcMar>
              <w:top w:w="90" w:type="dxa"/>
              <w:start w:w="110" w:type="dxa"/>
              <w:bottom w:w="90" w:type="dxa"/>
              <w:end w:w="110" w:type="dxa"/>
            </w:tcMar>
          </w:tcPr>
          <w:p>
            <w:r>
              <w:t>Shows file order, path, duration, size, status, and per-item progress.</w:t>
            </w:r>
          </w:p>
        </w:tc>
      </w:tr>
      <w:tr>
        <w:trPr>
          <w:cantSplit/>
        </w:trPr>
        <w:tc>
          <w:tcPr>
            <w:tcW w:type="dxa" w:w="5112"/>
            <w:tcMar>
              <w:top w:w="90" w:type="dxa"/>
              <w:start w:w="110" w:type="dxa"/>
              <w:bottom w:w="90" w:type="dxa"/>
              <w:end w:w="110" w:type="dxa"/>
            </w:tcMar>
            <w:shd w:fill="F5F3F9"/>
          </w:tcPr>
          <w:p>
            <w:r>
              <w:rPr>
                <w:b/>
                <w:color w:val="231D31"/>
              </w:rPr>
              <w:t>Drop target</w:t>
            </w:r>
          </w:p>
        </w:tc>
        <w:tc>
          <w:tcPr>
            <w:tcW w:type="dxa" w:w="5112"/>
            <w:tcMar>
              <w:top w:w="90" w:type="dxa"/>
              <w:start w:w="110" w:type="dxa"/>
              <w:bottom w:w="90" w:type="dxa"/>
              <w:end w:w="110" w:type="dxa"/>
            </w:tcMar>
          </w:tcPr>
          <w:p>
            <w:r>
              <w:t>Valid MP3 files or folders may be released anywhere in the idle window, not only inside the dashed box.</w:t>
            </w:r>
          </w:p>
        </w:tc>
      </w:tr>
      <w:tr>
        <w:trPr>
          <w:cantSplit/>
        </w:trPr>
        <w:tc>
          <w:tcPr>
            <w:tcW w:type="dxa" w:w="5112"/>
            <w:tcMar>
              <w:top w:w="90" w:type="dxa"/>
              <w:start w:w="110" w:type="dxa"/>
              <w:bottom w:w="90" w:type="dxa"/>
              <w:end w:w="110" w:type="dxa"/>
            </w:tcMar>
            <w:shd w:fill="F5F3F9"/>
          </w:tcPr>
          <w:p>
            <w:r>
              <w:rPr>
                <w:b/>
                <w:color w:val="231D31"/>
              </w:rPr>
              <w:t>API key shortcut</w:t>
            </w:r>
          </w:p>
        </w:tc>
        <w:tc>
          <w:tcPr>
            <w:tcW w:type="dxa" w:w="5112"/>
            <w:tcMar>
              <w:top w:w="90" w:type="dxa"/>
              <w:start w:w="110" w:type="dxa"/>
              <w:bottom w:w="90" w:type="dxa"/>
              <w:end w:w="110" w:type="dxa"/>
            </w:tcMar>
          </w:tcPr>
          <w:p>
            <w:r>
              <w:t>Jumps directly to the key controls. Show/Hide never retrieves a lost key from OpenAI; it only reveals the key loaded locally.</w:t>
            </w:r>
          </w:p>
        </w:tc>
      </w:tr>
      <w:tr>
        <w:trPr>
          <w:cantSplit/>
        </w:trPr>
        <w:tc>
          <w:tcPr>
            <w:tcW w:type="dxa" w:w="5112"/>
            <w:tcMar>
              <w:top w:w="90" w:type="dxa"/>
              <w:start w:w="110" w:type="dxa"/>
              <w:bottom w:w="90" w:type="dxa"/>
              <w:end w:w="110" w:type="dxa"/>
            </w:tcMar>
            <w:shd w:fill="F5F3F9"/>
          </w:tcPr>
          <w:p>
            <w:r>
              <w:rPr>
                <w:b/>
                <w:color w:val="231D31"/>
              </w:rPr>
              <w:t>Settings column</w:t>
            </w:r>
          </w:p>
        </w:tc>
        <w:tc>
          <w:tcPr>
            <w:tcW w:type="dxa" w:w="5112"/>
            <w:tcMar>
              <w:top w:w="90" w:type="dxa"/>
              <w:start w:w="110" w:type="dxa"/>
              <w:bottom w:w="90" w:type="dxa"/>
              <w:end w:w="110" w:type="dxa"/>
            </w:tcMar>
          </w:tcPr>
          <w:p>
            <w:r>
              <w:t>Output, API key, model, language hints, keyword hints, recording context, pricing estimate, chunk limits, context, retries, and behaviour.</w:t>
            </w:r>
          </w:p>
        </w:tc>
      </w:tr>
      <w:tr>
        <w:trPr>
          <w:cantSplit/>
        </w:trPr>
        <w:tc>
          <w:tcPr>
            <w:tcW w:type="dxa" w:w="5112"/>
            <w:tcMar>
              <w:top w:w="90" w:type="dxa"/>
              <w:start w:w="110" w:type="dxa"/>
              <w:bottom w:w="90" w:type="dxa"/>
              <w:end w:w="110" w:type="dxa"/>
            </w:tcMar>
            <w:shd w:fill="F5F3F9"/>
          </w:tcPr>
          <w:p>
            <w:r>
              <w:rPr>
                <w:b/>
                <w:color w:val="231D31"/>
              </w:rPr>
              <w:t>Footer progress</w:t>
            </w:r>
          </w:p>
        </w:tc>
        <w:tc>
          <w:tcPr>
            <w:tcW w:type="dxa" w:w="5112"/>
            <w:tcMar>
              <w:top w:w="90" w:type="dxa"/>
              <w:start w:w="110" w:type="dxa"/>
              <w:bottom w:w="90" w:type="dxa"/>
              <w:end w:w="110" w:type="dxa"/>
            </w:tcMar>
          </w:tcPr>
          <w:p>
            <w:r>
              <w:t>Always-visible action, percentage, progress bar, current file, and result counts.</w:t>
            </w:r>
          </w:p>
        </w:tc>
      </w:tr>
      <w:tr>
        <w:trPr>
          <w:cantSplit/>
        </w:trPr>
        <w:tc>
          <w:tcPr>
            <w:tcW w:type="dxa" w:w="5112"/>
            <w:tcMar>
              <w:top w:w="90" w:type="dxa"/>
              <w:start w:w="110" w:type="dxa"/>
              <w:bottom w:w="90" w:type="dxa"/>
              <w:end w:w="110" w:type="dxa"/>
            </w:tcMar>
            <w:shd w:fill="F5F3F9"/>
          </w:tcPr>
          <w:p>
            <w:r>
              <w:rPr>
                <w:b/>
                <w:color w:val="231D31"/>
              </w:rPr>
              <w:t>Start/Cancel</w:t>
            </w:r>
          </w:p>
        </w:tc>
        <w:tc>
          <w:tcPr>
            <w:tcW w:type="dxa" w:w="5112"/>
            <w:tcMar>
              <w:top w:w="90" w:type="dxa"/>
              <w:start w:w="110" w:type="dxa"/>
              <w:bottom w:w="90" w:type="dxa"/>
              <w:end w:w="110" w:type="dxa"/>
            </w:tcMar>
          </w:tcPr>
          <w:p>
            <w:r>
              <w:t>High-contrast Start transcription button and safe cancellation control.</w:t>
            </w:r>
          </w:p>
        </w:tc>
      </w:tr>
      <w:tr>
        <w:trPr>
          <w:cantSplit/>
        </w:trPr>
        <w:tc>
          <w:tcPr>
            <w:tcW w:type="dxa" w:w="5112"/>
            <w:tcMar>
              <w:top w:w="90" w:type="dxa"/>
              <w:start w:w="110" w:type="dxa"/>
              <w:bottom w:w="90" w:type="dxa"/>
              <w:end w:w="110" w:type="dxa"/>
            </w:tcMar>
            <w:shd w:fill="F5F3F9"/>
          </w:tcPr>
          <w:p>
            <w:r>
              <w:rPr>
                <w:b/>
                <w:color w:val="231D31"/>
              </w:rPr>
              <w:t>About</w:t>
            </w:r>
          </w:p>
        </w:tc>
        <w:tc>
          <w:tcPr>
            <w:tcW w:type="dxa" w:w="5112"/>
            <w:tcMar>
              <w:top w:w="90" w:type="dxa"/>
              <w:start w:w="110" w:type="dxa"/>
              <w:bottom w:w="90" w:type="dxa"/>
              <w:end w:w="110" w:type="dxa"/>
            </w:tcMar>
          </w:tcPr>
          <w:p>
            <w:r>
              <w:t>Creator attribution, version, Awakening to Reality link, optional PayPal support, and disclaimer.</w:t>
            </w:r>
          </w:p>
        </w:tc>
      </w:tr>
    </w:tbl>
    <w:p>
      <w:r/>
    </w:p>
    <w:p>
      <w:pPr>
        <w:pStyle w:val="TitlePageHeading"/>
      </w:pPr>
      <w:r>
        <w:t>API key and model access</w:t>
      </w:r>
    </w:p>
    <w:p>
      <w:pPr>
        <w:pStyle w:val="SubtitleText"/>
      </w:pPr>
      <w:r>
        <w:t>Keep the key private and test access before a long run.</w:t>
      </w:r>
    </w:p>
    <w:p>
      <w:pPr>
        <w:pStyle w:val="Heading2"/>
      </w:pPr>
      <w:r>
        <w:t>Ways to load a key</w:t>
      </w:r>
    </w:p>
    <w:tbl>
      <w:tblPr>
        <w:tblStyle w:val="TableGrid"/>
        <w:tblW w:type="auto" w:w="0"/>
        <w:jc w:val="center"/>
        <w:tblLook w:firstColumn="1" w:firstRow="1" w:lastColumn="0" w:lastRow="0" w:noHBand="0" w:noVBand="1" w:val="04A0"/>
      </w:tblPr>
      <w:tblGrid>
        <w:gridCol w:w="5112"/>
        <w:gridCol w:w="5112"/>
      </w:tblGrid>
      <w:tr>
        <w:trPr>
          <w:tblHeader w:val="true"/>
          <w:cantSplit/>
        </w:trPr>
        <w:tc>
          <w:tcPr>
            <w:tcW w:type="dxa" w:w="5112"/>
            <w:tcMar>
              <w:top w:w="90" w:type="dxa"/>
              <w:start w:w="110" w:type="dxa"/>
              <w:bottom w:w="90" w:type="dxa"/>
              <w:end w:w="110" w:type="dxa"/>
            </w:tcMar>
            <w:shd w:fill="F5F3F9"/>
          </w:tcPr>
          <w:p>
            <w:r>
              <w:rPr>
                <w:b/>
                <w:color w:val="231D31"/>
              </w:rPr>
              <w:t>Session input</w:t>
            </w:r>
          </w:p>
        </w:tc>
        <w:tc>
          <w:tcPr>
            <w:tcW w:type="dxa" w:w="5112"/>
            <w:tcMar>
              <w:top w:w="90" w:type="dxa"/>
              <w:start w:w="110" w:type="dxa"/>
              <w:bottom w:w="90" w:type="dxa"/>
              <w:end w:w="110" w:type="dxa"/>
            </w:tcMar>
          </w:tcPr>
          <w:p>
            <w:r>
              <w:t>Paste into the masked field. It remains available only while the app is running unless secure storage is enabled.</w:t>
            </w:r>
          </w:p>
        </w:tc>
      </w:tr>
      <w:tr>
        <w:trPr>
          <w:cantSplit/>
        </w:trPr>
        <w:tc>
          <w:tcPr>
            <w:tcW w:type="dxa" w:w="5112"/>
            <w:tcMar>
              <w:top w:w="90" w:type="dxa"/>
              <w:start w:w="110" w:type="dxa"/>
              <w:bottom w:w="90" w:type="dxa"/>
              <w:end w:w="110" w:type="dxa"/>
            </w:tcMar>
            <w:shd w:fill="F5F3F9"/>
          </w:tcPr>
          <w:p>
            <w:r>
              <w:rPr>
                <w:b/>
                <w:color w:val="231D31"/>
              </w:rPr>
              <w:t>Secure local vault</w:t>
            </w:r>
          </w:p>
        </w:tc>
        <w:tc>
          <w:tcPr>
            <w:tcW w:type="dxa" w:w="5112"/>
            <w:tcMar>
              <w:top w:w="90" w:type="dxa"/>
              <w:start w:w="110" w:type="dxa"/>
              <w:bottom w:w="90" w:type="dxa"/>
              <w:end w:w="110" w:type="dxa"/>
            </w:tcMar>
          </w:tcPr>
          <w:p>
            <w:r>
              <w:t>Windows DPAPI protects a copy for the current Windows user. It is not portable to another user/profile.</w:t>
            </w:r>
          </w:p>
        </w:tc>
      </w:tr>
      <w:tr>
        <w:trPr>
          <w:cantSplit/>
        </w:trPr>
        <w:tc>
          <w:tcPr>
            <w:tcW w:type="dxa" w:w="5112"/>
            <w:tcMar>
              <w:top w:w="90" w:type="dxa"/>
              <w:start w:w="110" w:type="dxa"/>
              <w:bottom w:w="90" w:type="dxa"/>
              <w:end w:w="110" w:type="dxa"/>
            </w:tcMar>
            <w:shd w:fill="F5F3F9"/>
          </w:tcPr>
          <w:p>
            <w:r>
              <w:rPr>
                <w:b/>
                <w:color w:val="231D31"/>
              </w:rPr>
              <w:t>OPENAI_API_KEY</w:t>
            </w:r>
          </w:p>
        </w:tc>
        <w:tc>
          <w:tcPr>
            <w:tcW w:type="dxa" w:w="5112"/>
            <w:tcMar>
              <w:top w:w="90" w:type="dxa"/>
              <w:start w:w="110" w:type="dxa"/>
              <w:bottom w:w="90" w:type="dxa"/>
              <w:end w:w="110" w:type="dxa"/>
            </w:tcMar>
          </w:tcPr>
          <w:p>
            <w:r>
              <w:t>The app can load the standard environment variable when no secure saved copy is preferred.</w:t>
            </w:r>
          </w:p>
        </w:tc>
      </w:tr>
    </w:tbl>
    <w:p>
      <w:pPr>
        <w:pStyle w:val="Heading2"/>
      </w:pPr>
      <w:r>
        <w:t>Recommended workflow</w:t>
      </w:r>
    </w:p>
    <w:p>
      <w:pPr>
        <w:pStyle w:val="BodyText"/>
        <w:ind w:left="403" w:hanging="403"/>
      </w:pPr>
      <w:r>
        <w:rPr>
          <w:b/>
        </w:rPr>
        <w:t xml:space="preserve">1. </w:t>
      </w:r>
      <w:r>
        <w:t>Paste the key and keep it masked.</w:t>
      </w:r>
    </w:p>
    <w:p>
      <w:pPr>
        <w:pStyle w:val="BodyText"/>
        <w:ind w:left="403" w:hanging="403"/>
      </w:pPr>
      <w:r>
        <w:rPr>
          <w:b/>
        </w:rPr>
        <w:t xml:space="preserve">2. </w:t>
      </w:r>
      <w:r>
        <w:t>Choose the intended model.</w:t>
      </w:r>
    </w:p>
    <w:p>
      <w:pPr>
        <w:pStyle w:val="BodyText"/>
        <w:ind w:left="403" w:hanging="403"/>
      </w:pPr>
      <w:r>
        <w:rPr>
          <w:b/>
        </w:rPr>
        <w:t xml:space="preserve">3. </w:t>
      </w:r>
      <w:r>
        <w:t>Choose Test connection. It checks model access and does not submit an audio transcription.</w:t>
      </w:r>
    </w:p>
    <w:p>
      <w:pPr>
        <w:pStyle w:val="BodyText"/>
        <w:ind w:left="403" w:hanging="403"/>
      </w:pPr>
      <w:r>
        <w:rPr>
          <w:b/>
        </w:rPr>
        <w:t xml:space="preserve">4. </w:t>
      </w:r>
      <w:r>
        <w:t>Only after the test succeeds, choose whether to remember the key securely.</w:t>
      </w:r>
    </w:p>
    <w:p>
      <w:pPr>
        <w:pStyle w:val="BodyText"/>
        <w:ind w:left="403" w:hanging="403"/>
      </w:pPr>
      <w:r>
        <w:rPr>
          <w:b/>
        </w:rPr>
        <w:t xml:space="preserve">5. </w:t>
      </w:r>
      <w:r>
        <w:t>Use Delete saved copy when the local DPAPI copy should be removed.</w:t>
      </w:r>
    </w:p>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FCECEE"/>
            <w:tcMar>
              <w:top w:w="130" w:type="dxa"/>
              <w:start w:w="170" w:type="dxa"/>
              <w:bottom w:w="130" w:type="dxa"/>
              <w:end w:w="170" w:type="dxa"/>
            </w:tcMar>
          </w:tcPr>
          <w:p>
            <w:pPr>
              <w:spacing w:after="0"/>
            </w:pPr>
            <w:r>
              <w:rPr>
                <w:b/>
                <w:color w:val="A83B4B"/>
              </w:rPr>
              <w:t xml:space="preserve">Security: </w:t>
            </w:r>
            <w:r>
              <w:t>Treat an API key like a password. Never include it in screenshots, support messages, source files, or logs. Cosmic Transcriber intentionally avoids normal key logging.</w:t>
            </w:r>
          </w:p>
        </w:tc>
      </w:tr>
    </w:tbl>
    <w:p>
      <w:pPr>
        <w:pStyle w:val="Heading2"/>
      </w:pPr>
      <w:r>
        <w:t>Model, language, and keyword hints</w:t>
      </w:r>
    </w:p>
    <w:p>
      <w:pPr/>
      <w:r>
        <w:rPr>
          <w:b w:val="0"/>
          <w:i w:val="0"/>
        </w:rPr>
        <w:t>Diarization mode requests structured speaker segments. Prompt, structured keywords, and previous-chunk prompt continuation are disabled for that model. If a long file requires several uploads, labels are part-scoped because Speaker A in one request is not guaranteed to be the same person in another.</w:t>
      </w:r>
    </w:p>
    <w:p>
      <w:pPr>
        <w:pStyle w:val="BodyText"/>
      </w:pPr>
      <w:r>
        <w:t>The interface defaults to gpt-transcribe for completed MP3/audio files. That model accepts bounded comma-separated ISO 639-1 hints, selected ISO 639-3 hints, and zh-cn/zh-tw/zh-hk through repeated language-list form fields. Choose gpt-4o-transcribe-diarize when speaker-labelled turns and start/end timestamps are more important than prompt/keyword guidance; it and the compatibility GPT-4o file models accept one two-letter ISO 639-1 language hint. Realtime-only models are omitted from the completed-file selector, so every visible model is selectable.</w:t>
      </w:r>
    </w:p>
    <w:p>
      <w:pPr>
        <w:pStyle w:val="BodyText"/>
      </w:pPr>
      <w:r>
        <w:t>Corrective audit note: The model and retry drop-downs now use an app-owned opaque WPF template with an explicit PART_Popup, bounded scrolling, and foreground bindings for both the selected value and menu items. This prevents white-on-light text and transparent-popup rendering failures while preserving keyboard navigation. Closed controls suppress value changes and forward mouse-wheel input to the surrounding page, and realtime-only models are omitted from the completed-file selector. Network failures record elapsed time, a category, a client request ID, any server request ID and HTTP status received before a body failure, and a bounded nested exception/socket chain. The 45-second connection-test timeout is classified inside the client; application shutdown remains a separate cancellation. Open the diagnostic log after a failure, remove private data before sharing it, and avoid blind retries because a lost response can duplicate accepted billable work.</w:t>
      </w:r>
    </w:p>
    <w:p>
      <w:pPr>
        <w:pStyle w:val="Heading2"/>
      </w:pPr>
      <w:r>
        <w:t>Prompt / recording context</w:t>
      </w:r>
    </w:p>
    <w:p>
      <w:pPr>
        <w:pStyle w:val="BodyText"/>
      </w:pPr>
      <w:r>
        <w:t>Use the prompt for free-form recording context and transcription instructions, such as demanding faithful, complete transcription and preserved negations. Put literal names and specialist spellings in Keyword hints instead. The app bounds both fields and carries a safe tail of previous text when previous-context mode is enabled.</w:t>
      </w:r>
    </w:p>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EAF3FB"/>
            <w:tcMar>
              <w:top w:w="130" w:type="dxa"/>
              <w:start w:w="170" w:type="dxa"/>
              <w:bottom w:w="130" w:type="dxa"/>
              <w:end w:w="170" w:type="dxa"/>
            </w:tcMar>
          </w:tcPr>
          <w:p>
            <w:pPr>
              <w:spacing w:after="0"/>
            </w:pPr>
            <w:r>
              <w:rPr>
                <w:b/>
                <w:color w:val="4B8FCC"/>
              </w:rPr>
              <w:t xml:space="preserve">Billing: </w:t>
            </w:r>
            <w:r>
              <w:t>A ChatGPT subscription and an OpenAI API account are separate products. Verify API access, credit, limits, and current pricing before a large job.</w:t>
            </w:r>
          </w:p>
        </w:tc>
      </w:tr>
    </w:tbl>
    <w:p>
      <w:r/>
    </w:p>
    <w:p>
      <w:pPr>
        <w:pStyle w:val="TitlePageHeading"/>
      </w:pPr>
      <w:r>
        <w:t>Adding MP3 files and fixing drag-and-drop</w:t>
      </w:r>
    </w:p>
    <w:p>
      <w:pPr>
        <w:pStyle w:val="SubtitleText"/>
      </w:pPr>
      <w:r>
        <w:t>Four import paths are provided so one Windows limitation does not block the workflow.</w:t>
      </w:r>
    </w:p>
    <w:p>
      <w:pPr>
        <w:pStyle w:val="Heading2"/>
      </w:pPr>
      <w:r>
        <w:t>Import methods</w:t>
      </w:r>
    </w:p>
    <w:tbl>
      <w:tblPr>
        <w:tblStyle w:val="TableGrid"/>
        <w:tblW w:type="auto" w:w="0"/>
        <w:jc w:val="center"/>
        <w:tblLook w:firstColumn="1" w:firstRow="1" w:lastColumn="0" w:lastRow="0" w:noHBand="0" w:noVBand="1" w:val="04A0"/>
      </w:tblPr>
      <w:tblGrid>
        <w:gridCol w:w="5112"/>
        <w:gridCol w:w="5112"/>
      </w:tblGrid>
      <w:tr>
        <w:trPr>
          <w:tblHeader w:val="true"/>
          <w:cantSplit/>
        </w:trPr>
        <w:tc>
          <w:tcPr>
            <w:tcW w:type="dxa" w:w="5112"/>
            <w:tcMar>
              <w:top w:w="90" w:type="dxa"/>
              <w:start w:w="110" w:type="dxa"/>
              <w:bottom w:w="90" w:type="dxa"/>
              <w:end w:w="110" w:type="dxa"/>
            </w:tcMar>
            <w:shd w:fill="F5F3F9"/>
          </w:tcPr>
          <w:p>
            <w:r>
              <w:rPr>
                <w:b/>
                <w:color w:val="231D31"/>
              </w:rPr>
              <w:t>Files</w:t>
            </w:r>
          </w:p>
        </w:tc>
        <w:tc>
          <w:tcPr>
            <w:tcW w:type="dxa" w:w="5112"/>
            <w:tcMar>
              <w:top w:w="90" w:type="dxa"/>
              <w:start w:w="110" w:type="dxa"/>
              <w:bottom w:w="90" w:type="dxa"/>
              <w:end w:w="110" w:type="dxa"/>
            </w:tcMar>
          </w:tcPr>
          <w:p>
            <w:r>
              <w:t>Select one or more MP3 files.</w:t>
            </w:r>
          </w:p>
        </w:tc>
      </w:tr>
      <w:tr>
        <w:trPr>
          <w:cantSplit/>
        </w:trPr>
        <w:tc>
          <w:tcPr>
            <w:tcW w:type="dxa" w:w="5112"/>
            <w:tcMar>
              <w:top w:w="90" w:type="dxa"/>
              <w:start w:w="110" w:type="dxa"/>
              <w:bottom w:w="90" w:type="dxa"/>
              <w:end w:w="110" w:type="dxa"/>
            </w:tcMar>
            <w:shd w:fill="F5F3F9"/>
          </w:tcPr>
          <w:p>
            <w:r>
              <w:rPr>
                <w:b/>
                <w:color w:val="231D31"/>
              </w:rPr>
              <w:t>Folder</w:t>
            </w:r>
          </w:p>
        </w:tc>
        <w:tc>
          <w:tcPr>
            <w:tcW w:type="dxa" w:w="5112"/>
            <w:tcMar>
              <w:top w:w="90" w:type="dxa"/>
              <w:start w:w="110" w:type="dxa"/>
              <w:bottom w:w="90" w:type="dxa"/>
              <w:end w:w="110" w:type="dxa"/>
            </w:tcMar>
          </w:tcPr>
          <w:p>
            <w:r>
              <w:t>Recursively discover MP3 files and add them in natural order.</w:t>
            </w:r>
          </w:p>
        </w:tc>
      </w:tr>
      <w:tr>
        <w:trPr>
          <w:cantSplit/>
        </w:trPr>
        <w:tc>
          <w:tcPr>
            <w:tcW w:type="dxa" w:w="5112"/>
            <w:tcMar>
              <w:top w:w="90" w:type="dxa"/>
              <w:start w:w="110" w:type="dxa"/>
              <w:bottom w:w="90" w:type="dxa"/>
              <w:end w:w="110" w:type="dxa"/>
            </w:tcMar>
            <w:shd w:fill="F5F3F9"/>
          </w:tcPr>
          <w:p>
            <w:r>
              <w:rPr>
                <w:b/>
                <w:color w:val="231D31"/>
              </w:rPr>
              <w:t>Drag-and-drop</w:t>
            </w:r>
          </w:p>
        </w:tc>
        <w:tc>
          <w:tcPr>
            <w:tcW w:type="dxa" w:w="5112"/>
            <w:tcMar>
              <w:top w:w="90" w:type="dxa"/>
              <w:start w:w="110" w:type="dxa"/>
              <w:bottom w:w="90" w:type="dxa"/>
              <w:end w:w="110" w:type="dxa"/>
            </w:tcMar>
          </w:tcPr>
          <w:p>
            <w:r>
              <w:t>Release valid MP3 files or folders anywhere in the idle application window.</w:t>
            </w:r>
          </w:p>
        </w:tc>
      </w:tr>
      <w:tr>
        <w:trPr>
          <w:cantSplit/>
        </w:trPr>
        <w:tc>
          <w:tcPr>
            <w:tcW w:type="dxa" w:w="5112"/>
            <w:tcMar>
              <w:top w:w="90" w:type="dxa"/>
              <w:start w:w="110" w:type="dxa"/>
              <w:bottom w:w="90" w:type="dxa"/>
              <w:end w:w="110" w:type="dxa"/>
            </w:tcMar>
            <w:shd w:fill="F5F3F9"/>
          </w:tcPr>
          <w:p>
            <w:r>
              <w:rPr>
                <w:b/>
                <w:color w:val="231D31"/>
              </w:rPr>
              <w:t>Paste / Ctrl+V</w:t>
            </w:r>
          </w:p>
        </w:tc>
        <w:tc>
          <w:tcPr>
            <w:tcW w:type="dxa" w:w="5112"/>
            <w:tcMar>
              <w:top w:w="90" w:type="dxa"/>
              <w:start w:w="110" w:type="dxa"/>
              <w:bottom w:w="90" w:type="dxa"/>
              <w:end w:w="110" w:type="dxa"/>
            </w:tcMar>
          </w:tcPr>
          <w:p>
            <w:r>
              <w:t>Copy files or folders in File Explorer, then use Paste or Ctrl+V in the app.</w:t>
            </w:r>
          </w:p>
        </w:tc>
      </w:tr>
    </w:tbl>
    <w:p>
      <w:pPr>
        <w:pStyle w:val="Heading2"/>
      </w:pPr>
      <w:r>
        <w:t>Why the forbidden/cancel cursor appears</w:t>
      </w:r>
    </w:p>
    <w:p>
      <w:pPr>
        <w:pStyle w:val="BodyText"/>
      </w:pPr>
      <w:r>
        <w:t>The most common cause is a Windows privilege mismatch: File Explorer is running normally while Cosmic Transcriber is elevated. Windows User Interface Privilege Isolation intentionally blocks OLE drag-and-drop across integrity levels.</w:t>
      </w:r>
    </w:p>
    <w:p>
      <w:pPr>
        <w:pStyle w:val="BodyText"/>
        <w:ind w:left="403" w:hanging="403"/>
      </w:pPr>
      <w:r>
        <w:t>1. Choose Restart normally in the warning banner.</w:t>
      </w:r>
    </w:p>
    <w:p>
      <w:pPr>
        <w:pStyle w:val="BodyText"/>
        <w:ind w:left="403" w:hanging="403"/>
      </w:pPr>
      <w:r>
        <w:t>2. Cosmic Transcriber removes only a current-user RUNASADMIN compatibility token when present and asks the normal Explorer shell to reopen the same EXE.</w:t>
      </w:r>
    </w:p>
    <w:p>
      <w:pPr>
        <w:pStyle w:val="BodyText"/>
        <w:ind w:left="403" w:hanging="403"/>
      </w:pPr>
      <w:r>
        <w:t>3. If Windows reports a machine-wide rule, open Properties &gt; Compatibility &gt; Change settings for all users and clear Run this program as an administrator manually.</w:t>
      </w:r>
    </w:p>
    <w:p>
      <w:pPr>
        <w:pStyle w:val="BodyText"/>
        <w:ind w:left="403" w:hanging="403"/>
      </w:pPr>
      <w:r>
        <w:t>4. Do not launch from an elevated terminal, task, installer, or Visual Studio instance.</w:t>
      </w:r>
    </w:p>
    <w:p>
      <w:pPr>
        <w:pStyle w:val="BodyText"/>
        <w:ind w:left="403" w:hanging="403"/>
      </w:pPr>
      <w:r>
        <w:t>5. After the warning disappears, drag a local .mp3 from normal File Explorer while the app is idle.</w:t>
      </w:r>
    </w:p>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EAF3FB"/>
            <w:tcMar>
              <w:top w:w="130" w:type="dxa"/>
              <w:start w:w="170" w:type="dxa"/>
              <w:bottom w:w="130" w:type="dxa"/>
              <w:end w:w="170" w:type="dxa"/>
            </w:tcMar>
          </w:tcPr>
          <w:p>
            <w:pPr>
              <w:spacing w:after="0"/>
            </w:pPr>
            <w:r>
              <w:rPr>
                <w:b/>
                <w:color w:val="4B8FCC"/>
              </w:rPr>
              <w:t xml:space="preserve">Busy state: </w:t>
            </w:r>
            <w:r>
              <w:t>New drops are deliberately refused while the app is importing, testing the key, transcribing, cancelling, or closing. This prevents queue mutation during work that depends on stable order and identity.</w:t>
            </w:r>
          </w:p>
        </w:tc>
      </w:tr>
    </w:tbl>
    <w:p>
      <w:pPr>
        <w:pStyle w:val="Heading2"/>
      </w:pPr>
      <w:r>
        <w:t>Source integrity</w:t>
      </w:r>
    </w:p>
    <w:p>
      <w:pPr>
        <w:pStyle w:val="BodyText"/>
      </w:pPr>
      <w:r>
        <w:t>When a file is queued, Cosmic Transcriber reads MP3 information and SHA-256 under one file lease. Before any API request, it reopens and rehashes the source. If the file changed, disappeared, or became unreadable, the run stops before billing and asks you to remove and re-add it.</w:t>
      </w:r>
    </w:p>
    <w:p>
      <w:r/>
    </w:p>
    <w:p>
      <w:pPr>
        <w:pStyle w:val="TitlePageHeading"/>
      </w:pPr>
      <w:r>
        <w:t>Output, autosave, and transcription settings</w:t>
      </w:r>
    </w:p>
    <w:p>
      <w:pPr>
        <w:pStyle w:val="SubtitleText"/>
      </w:pPr>
      <w:r>
        <w:t>Defaults are conservative. Valid ordinary configuration changes save automatically about 900 milliseconds after you pause; the Settings autosave card reports pending, saved, partial, or failed state.</w:t>
      </w:r>
    </w:p>
    <w:tbl>
      <w:tblPr>
        <w:tblStyle w:val="TableGrid"/>
        <w:tblW w:type="auto" w:w="0"/>
        <w:jc w:val="center"/>
        <w:tblLook w:firstColumn="1" w:firstRow="1" w:lastColumn="0" w:lastRow="0" w:noHBand="0" w:noVBand="1" w:val="04A0"/>
      </w:tblPr>
      <w:tblGrid>
        <w:gridCol w:w="5112"/>
        <w:gridCol w:w="5112"/>
      </w:tblGrid>
      <w:tr>
        <w:trPr>
          <w:tblHeader w:val="true"/>
          <w:tblHeader w:val="true"/>
          <w:cantSplit/>
        </w:trPr>
        <w:tc>
          <w:tcPr>
            <w:tcW w:type="dxa" w:w="5112"/>
            <w:shd w:fill="17112F"/>
            <w:tcMar>
              <w:top w:w="90" w:type="dxa"/>
              <w:start w:w="110" w:type="dxa"/>
              <w:bottom w:w="90" w:type="dxa"/>
              <w:end w:w="110" w:type="dxa"/>
            </w:tcMar>
          </w:tcPr>
          <w:p>
            <w:r>
              <w:rPr>
                <w:b/>
                <w:color w:val="FFFFFF"/>
              </w:rPr>
              <w:t>Setting</w:t>
            </w:r>
          </w:p>
        </w:tc>
        <w:tc>
          <w:tcPr>
            <w:tcW w:type="dxa" w:w="5112"/>
            <w:shd w:fill="17112F"/>
            <w:tcMar>
              <w:top w:w="90" w:type="dxa"/>
              <w:start w:w="110" w:type="dxa"/>
              <w:bottom w:w="90" w:type="dxa"/>
              <w:end w:w="110" w:type="dxa"/>
            </w:tcMar>
          </w:tcPr>
          <w:p>
            <w:r>
              <w:rPr>
                <w:b/>
                <w:color w:val="FFFFFF"/>
              </w:rPr>
              <w:t>Meaning and safe use</w:t>
            </w:r>
          </w:p>
        </w:tc>
      </w:tr>
      <w:tr>
        <w:trPr>
          <w:cantSplit/>
        </w:trPr>
        <w:tc>
          <w:tcPr>
            <w:tcW w:type="dxa" w:w="5112"/>
            <w:tcMar>
              <w:top w:w="90" w:type="dxa"/>
              <w:start w:w="110" w:type="dxa"/>
              <w:bottom w:w="90" w:type="dxa"/>
              <w:end w:w="110" w:type="dxa"/>
            </w:tcMar>
            <w:shd w:fill="F5F3F9"/>
          </w:tcPr>
          <w:p>
            <w:r>
              <w:rPr>
                <w:b/>
                <w:color w:val="231D31"/>
              </w:rPr>
              <w:t>Output folder</w:t>
            </w:r>
          </w:p>
        </w:tc>
        <w:tc>
          <w:tcPr>
            <w:tcW w:type="dxa" w:w="5112"/>
            <w:tcMar>
              <w:top w:w="90" w:type="dxa"/>
              <w:start w:w="110" w:type="dxa"/>
              <w:bottom w:w="90" w:type="dxa"/>
              <w:end w:w="110" w:type="dxa"/>
            </w:tcMar>
          </w:tcPr>
          <w:p>
            <w:r>
              <w:t>Defaults beside the executable. Choose a writable local folder. Network/cloud folders can introduce locking or sync errors.</w:t>
            </w:r>
          </w:p>
        </w:tc>
      </w:tr>
      <w:tr>
        <w:trPr>
          <w:cantSplit/>
        </w:trPr>
        <w:tc>
          <w:tcPr>
            <w:tcW w:type="dxa" w:w="5112"/>
            <w:tcMar>
              <w:top w:w="90" w:type="dxa"/>
              <w:start w:w="110" w:type="dxa"/>
              <w:bottom w:w="90" w:type="dxa"/>
              <w:end w:w="110" w:type="dxa"/>
            </w:tcMar>
            <w:shd w:fill="F5F3F9"/>
          </w:tcPr>
          <w:p>
            <w:r>
              <w:rPr>
                <w:b/>
                <w:color w:val="231D31"/>
              </w:rPr>
              <w:t>TXT / Markdown</w:t>
            </w:r>
          </w:p>
        </w:tc>
        <w:tc>
          <w:tcPr>
            <w:tcW w:type="dxa" w:w="5112"/>
            <w:tcMar>
              <w:top w:w="90" w:type="dxa"/>
              <w:start w:w="110" w:type="dxa"/>
              <w:bottom w:w="90" w:type="dxa"/>
              <w:end w:w="110" w:type="dxa"/>
            </w:tcMar>
          </w:tcPr>
          <w:p>
            <w:r>
              <w:t>Enable at least one. The app can write both and rolls back partial siblings if a multi-format export fails.</w:t>
            </w:r>
          </w:p>
        </w:tc>
      </w:tr>
      <w:tr>
        <w:trPr>
          <w:cantSplit/>
        </w:trPr>
        <w:tc>
          <w:tcPr>
            <w:tcW w:type="dxa" w:w="5112"/>
            <w:tcMar>
              <w:top w:w="90" w:type="dxa"/>
              <w:start w:w="110" w:type="dxa"/>
              <w:bottom w:w="90" w:type="dxa"/>
              <w:end w:w="110" w:type="dxa"/>
            </w:tcMar>
            <w:shd w:fill="F5F3F9"/>
          </w:tcPr>
          <w:p>
            <w:r>
              <w:rPr>
                <w:b/>
                <w:color w:val="231D31"/>
              </w:rPr>
              <w:t>Chunk timestamps</w:t>
            </w:r>
          </w:p>
        </w:tc>
        <w:tc>
          <w:tcPr>
            <w:tcW w:type="dxa" w:w="5112"/>
            <w:tcMar>
              <w:top w:w="90" w:type="dxa"/>
              <w:start w:w="110" w:type="dxa"/>
              <w:bottom w:w="90" w:type="dxa"/>
              <w:end w:w="110" w:type="dxa"/>
            </w:tcMar>
          </w:tcPr>
          <w:p>
            <w:r>
              <w:t>Adds each chunk time range. They are chunk-level, not word-level timestamps.</w:t>
            </w:r>
          </w:p>
        </w:tc>
      </w:tr>
      <w:tr>
        <w:trPr>
          <w:cantSplit/>
        </w:trPr>
        <w:tc>
          <w:tcPr>
            <w:tcW w:type="dxa" w:w="5112"/>
            <w:tcMar>
              <w:top w:w="90" w:type="dxa"/>
              <w:start w:w="110" w:type="dxa"/>
              <w:bottom w:w="90" w:type="dxa"/>
              <w:end w:w="110" w:type="dxa"/>
            </w:tcMar>
            <w:shd w:fill="F5F3F9"/>
          </w:tcPr>
          <w:p>
            <w:r>
              <w:rPr>
                <w:b/>
                <w:color w:val="231D31"/>
              </w:rPr>
              <w:t>Merge all files</w:t>
            </w:r>
          </w:p>
        </w:tc>
        <w:tc>
          <w:tcPr>
            <w:tcW w:type="dxa" w:w="5112"/>
            <w:tcMar>
              <w:top w:w="90" w:type="dxa"/>
              <w:start w:w="110" w:type="dxa"/>
              <w:bottom w:w="90" w:type="dxa"/>
              <w:end w:w="110" w:type="dxa"/>
            </w:tcMar>
          </w:tcPr>
          <w:p>
            <w:r>
              <w:t>Creates one combined transcript in queue order only when the run can do so safely.</w:t>
            </w:r>
          </w:p>
        </w:tc>
      </w:tr>
      <w:tr>
        <w:trPr>
          <w:cantSplit/>
        </w:trPr>
        <w:tc>
          <w:tcPr>
            <w:tcW w:type="dxa" w:w="5112"/>
            <w:tcMar>
              <w:top w:w="90" w:type="dxa"/>
              <w:start w:w="110" w:type="dxa"/>
              <w:bottom w:w="90" w:type="dxa"/>
              <w:end w:w="110" w:type="dxa"/>
            </w:tcMar>
            <w:shd w:fill="F5F3F9"/>
          </w:tcPr>
          <w:p>
            <w:r>
              <w:rPr>
                <w:b/>
                <w:color w:val="231D31"/>
              </w:rPr>
              <w:t>Maximum upload size</w:t>
            </w:r>
          </w:p>
        </w:tc>
        <w:tc>
          <w:tcPr>
            <w:tcW w:type="dxa" w:w="5112"/>
            <w:tcMar>
              <w:top w:w="90" w:type="dxa"/>
              <w:start w:w="110" w:type="dxa"/>
              <w:bottom w:w="90" w:type="dxa"/>
              <w:end w:w="110" w:type="dxa"/>
            </w:tcMar>
          </w:tcPr>
          <w:p>
            <w:r>
              <w:t>5-24 MB. Default 20 MB leaves margin below the remote service ceiling.</w:t>
            </w:r>
          </w:p>
        </w:tc>
      </w:tr>
      <w:tr>
        <w:trPr>
          <w:cantSplit/>
        </w:trPr>
        <w:tc>
          <w:tcPr>
            <w:tcW w:type="dxa" w:w="5112"/>
            <w:tcMar>
              <w:top w:w="90" w:type="dxa"/>
              <w:start w:w="110" w:type="dxa"/>
              <w:bottom w:w="90" w:type="dxa"/>
              <w:end w:w="110" w:type="dxa"/>
            </w:tcMar>
            <w:shd w:fill="F5F3F9"/>
          </w:tcPr>
          <w:p>
            <w:r>
              <w:rPr>
                <w:b/>
                <w:color w:val="231D31"/>
              </w:rPr>
              <w:t>Maximum duration</w:t>
            </w:r>
          </w:p>
        </w:tc>
        <w:tc>
          <w:tcPr>
            <w:tcW w:type="dxa" w:w="5112"/>
            <w:tcMar>
              <w:top w:w="90" w:type="dxa"/>
              <w:start w:w="110" w:type="dxa"/>
              <w:bottom w:w="90" w:type="dxa"/>
              <w:end w:w="110" w:type="dxa"/>
            </w:tcMar>
          </w:tcPr>
          <w:p>
            <w:r>
              <w:t>3-5 minutes. Default 5 minutes.</w:t>
            </w:r>
          </w:p>
        </w:tc>
      </w:tr>
      <w:tr>
        <w:trPr>
          <w:cantSplit/>
        </w:trPr>
        <w:tc>
          <w:tcPr>
            <w:tcW w:type="dxa" w:w="5112"/>
            <w:tcMar>
              <w:top w:w="90" w:type="dxa"/>
              <w:start w:w="110" w:type="dxa"/>
              <w:bottom w:w="90" w:type="dxa"/>
              <w:end w:w="110" w:type="dxa"/>
            </w:tcMar>
            <w:shd w:fill="F5F3F9"/>
          </w:tcPr>
          <w:p>
            <w:r>
              <w:rPr>
                <w:b/>
                <w:color w:val="231D31"/>
              </w:rPr>
              <w:t>Previous context</w:t>
            </w:r>
          </w:p>
        </w:tc>
        <w:tc>
          <w:tcPr>
            <w:tcW w:type="dxa" w:w="5112"/>
            <w:tcMar>
              <w:top w:w="90" w:type="dxa"/>
              <w:start w:w="110" w:type="dxa"/>
              <w:bottom w:w="90" w:type="dxa"/>
              <w:end w:w="110" w:type="dxa"/>
            </w:tcMar>
          </w:tcPr>
          <w:p>
            <w:r>
              <w:t>Provides a bounded tail of prior text to improve continuity across chunks.</w:t>
            </w:r>
          </w:p>
        </w:tc>
      </w:tr>
      <w:tr>
        <w:trPr>
          <w:cantSplit/>
        </w:trPr>
        <w:tc>
          <w:tcPr>
            <w:tcW w:type="dxa" w:w="5112"/>
            <w:tcMar>
              <w:top w:w="90" w:type="dxa"/>
              <w:start w:w="110" w:type="dxa"/>
              <w:bottom w:w="90" w:type="dxa"/>
              <w:end w:w="110" w:type="dxa"/>
            </w:tcMar>
            <w:shd w:fill="F5F3F9"/>
          </w:tcPr>
          <w:p>
            <w:r>
              <w:rPr>
                <w:b/>
                <w:color w:val="231D31"/>
              </w:rPr>
              <w:t>Retries</w:t>
            </w:r>
          </w:p>
        </w:tc>
        <w:tc>
          <w:tcPr>
            <w:tcW w:type="dxa" w:w="5112"/>
            <w:tcMar>
              <w:top w:w="90" w:type="dxa"/>
              <w:start w:w="110" w:type="dxa"/>
              <w:bottom w:w="90" w:type="dxa"/>
              <w:end w:w="110" w:type="dxa"/>
            </w:tcMar>
          </w:tcPr>
          <w:p>
            <w:r>
              <w:t>0–5; default 0. A lost response can make any enabled retry repeat a billable request.</w:t>
            </w:r>
          </w:p>
        </w:tc>
      </w:tr>
      <w:tr>
        <w:trPr>
          <w:cantSplit/>
        </w:trPr>
        <w:tc>
          <w:tcPr>
            <w:tcW w:type="dxa" w:w="5112"/>
            <w:tcMar>
              <w:top w:w="90" w:type="dxa"/>
              <w:start w:w="110" w:type="dxa"/>
              <w:bottom w:w="90" w:type="dxa"/>
              <w:end w:w="110" w:type="dxa"/>
            </w:tcMar>
            <w:shd w:fill="F5F3F9"/>
          </w:tcPr>
          <w:p>
            <w:r>
              <w:rPr>
                <w:b/>
                <w:color w:val="231D31"/>
              </w:rPr>
              <w:t>Continue after failed file</w:t>
            </w:r>
          </w:p>
        </w:tc>
        <w:tc>
          <w:tcPr>
            <w:tcW w:type="dxa" w:w="5112"/>
            <w:tcMar>
              <w:top w:w="90" w:type="dxa"/>
              <w:start w:w="110" w:type="dxa"/>
              <w:bottom w:w="90" w:type="dxa"/>
              <w:end w:w="110" w:type="dxa"/>
            </w:tcMar>
          </w:tcPr>
          <w:p>
            <w:r>
              <w:t>Continues only for recognised file-specific failures. Systemic failures always stop the queue.</w:t>
            </w:r>
          </w:p>
        </w:tc>
      </w:tr>
      <w:tr>
        <w:trPr>
          <w:cantSplit/>
        </w:trPr>
        <w:tc>
          <w:tcPr>
            <w:tcW w:type="dxa" w:w="5112"/>
            <w:tcMar>
              <w:top w:w="90" w:type="dxa"/>
              <w:start w:w="110" w:type="dxa"/>
              <w:bottom w:w="90" w:type="dxa"/>
              <w:end w:w="110" w:type="dxa"/>
            </w:tcMar>
            <w:shd w:fill="F5F3F9"/>
          </w:tcPr>
          <w:p>
            <w:r>
              <w:rPr>
                <w:b/>
                <w:color w:val="231D31"/>
              </w:rPr>
              <w:t>Estimated price/min</w:t>
            </w:r>
          </w:p>
        </w:tc>
        <w:tc>
          <w:tcPr>
            <w:tcW w:type="dxa" w:w="5112"/>
            <w:tcMar>
              <w:top w:w="90" w:type="dxa"/>
              <w:start w:w="110" w:type="dxa"/>
              <w:bottom w:w="90" w:type="dxa"/>
              <w:end w:w="110" w:type="dxa"/>
            </w:tcMar>
          </w:tcPr>
          <w:p>
            <w:r>
              <w:t>A local editable calculator, not live pricing.</w:t>
            </w:r>
          </w:p>
        </w:tc>
      </w:tr>
      <w:tr>
        <w:trPr>
          <w:cantSplit/>
        </w:trPr>
        <w:tc>
          <w:tcPr>
            <w:tcW w:type="dxa" w:w="5112"/>
          </w:tcPr>
          <w:p>
            <w:r>
              <w:t>Settings autosave</w:t>
            </w:r>
          </w:p>
        </w:tc>
        <w:tc>
          <w:tcPr>
            <w:tcW w:type="dxa" w:w="5112"/>
          </w:tcPr>
          <w:p>
            <w:r>
              <w:t>Valid ordinary options save after roughly 900 ms of inactivity. Invalid language/keyword/price input preserves only that field’s last valid stored value while other valid changes still persist.</w:t>
            </w:r>
          </w:p>
        </w:tc>
      </w:tr>
      <w:tr>
        <w:trPr>
          <w:cantSplit/>
        </w:trPr>
        <w:tc>
          <w:tcPr>
            <w:tcW w:type="dxa" w:w="5112"/>
          </w:tcPr>
          <w:p>
            <w:r>
              <w:t>Speaker-labelled mode</w:t>
            </w:r>
          </w:p>
        </w:tc>
        <w:tc>
          <w:tcPr>
            <w:tcW w:type="dxa" w:w="5112"/>
          </w:tcPr>
          <w:p>
            <w:r>
              <w:t>Choose gpt-4o-transcribe-diarize for interviews/Q&amp;A. It returns speaker turns and start/end times, but does not use prompt or structured keyword guidance. Anonymous labels are scoped by Part across multiple uploads.</w:t>
            </w:r>
          </w:p>
        </w:tc>
      </w:tr>
    </w:tbl>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FFF0BF"/>
            <w:tcMar>
              <w:top w:w="130" w:type="dxa"/>
              <w:start w:w="170" w:type="dxa"/>
              <w:bottom w:w="130" w:type="dxa"/>
              <w:end w:w="170" w:type="dxa"/>
            </w:tcMar>
          </w:tcPr>
          <w:p>
            <w:r>
              <w:t>Recommended long-form settings: Start with 20 MB, 5 minutes, previous context on, retries 0, TXT and Markdown on, and a local output folder. Enable retries only after accepting the duplicate-billing risk of a lost response.</w:t>
            </w:r>
          </w:p>
        </w:tc>
      </w:tr>
    </w:tbl>
    <w:p>
      <w:pPr>
        <w:pStyle w:val="Heading2"/>
      </w:pPr>
      <w:r>
        <w:t>Combined title safety</w:t>
      </w:r>
    </w:p>
    <w:p>
      <w:pPr>
        <w:pStyle w:val="BodyText"/>
      </w:pPr>
      <w:r>
        <w:t>The title is normalised to one line, bounded, checked again after normalisation, and converted to a safe filename. Blank or control-only input falls back to Combined Transcript.</w:t>
      </w:r>
    </w:p>
    <w:p>
      <w:r/>
    </w:p>
    <w:p>
      <w:pPr>
        <w:pStyle w:val="TitlePageHeading"/>
      </w:pPr>
      <w:r>
        <w:t>Running, progress, cancellation, and close</w:t>
      </w:r>
    </w:p>
    <w:p>
      <w:pPr>
        <w:pStyle w:val="SubtitleText"/>
      </w:pPr>
      <w:r>
        <w:t>The footer remains visible while settings scroll so long operations never appear frozen.</w:t>
      </w:r>
    </w:p>
    <w:p>
      <w:pPr>
        <w:pStyle w:val="Heading2"/>
      </w:pPr>
      <w:r>
        <w:t>Progress model</w:t>
      </w:r>
    </w:p>
    <w:tbl>
      <w:tblPr>
        <w:tblStyle w:val="TableGrid"/>
        <w:tblW w:type="auto" w:w="0"/>
        <w:jc w:val="center"/>
        <w:tblLook w:firstColumn="1" w:firstRow="1" w:lastColumn="0" w:lastRow="0" w:noHBand="0" w:noVBand="1" w:val="04A0"/>
      </w:tblPr>
      <w:tblGrid>
        <w:gridCol w:w="5112"/>
        <w:gridCol w:w="5112"/>
      </w:tblGrid>
      <w:tr>
        <w:trPr>
          <w:tblHeader w:val="true"/>
          <w:cantSplit/>
        </w:trPr>
        <w:tc>
          <w:tcPr>
            <w:tcW w:type="dxa" w:w="5112"/>
            <w:tcMar>
              <w:top w:w="90" w:type="dxa"/>
              <w:start w:w="110" w:type="dxa"/>
              <w:bottom w:w="90" w:type="dxa"/>
              <w:end w:w="110" w:type="dxa"/>
            </w:tcMar>
            <w:shd w:fill="F5F3F9"/>
          </w:tcPr>
          <w:p>
            <w:r>
              <w:rPr>
                <w:b/>
                <w:color w:val="231D31"/>
              </w:rPr>
              <w:t>Preparing</w:t>
            </w:r>
          </w:p>
        </w:tc>
        <w:tc>
          <w:tcPr>
            <w:tcW w:type="dxa" w:w="5112"/>
            <w:tcMar>
              <w:top w:w="90" w:type="dxa"/>
              <w:start w:w="110" w:type="dxa"/>
              <w:bottom w:w="90" w:type="dxa"/>
              <w:end w:w="110" w:type="dxa"/>
            </w:tcMar>
          </w:tcPr>
          <w:p>
            <w:r>
              <w:t>Inspecting and frame-copying MP3 chunks. Unknown work may use indeterminate progress; measurable work uses percentage.</w:t>
            </w:r>
          </w:p>
        </w:tc>
      </w:tr>
      <w:tr>
        <w:trPr>
          <w:cantSplit/>
        </w:trPr>
        <w:tc>
          <w:tcPr>
            <w:tcW w:type="dxa" w:w="5112"/>
            <w:tcMar>
              <w:top w:w="90" w:type="dxa"/>
              <w:start w:w="110" w:type="dxa"/>
              <w:bottom w:w="90" w:type="dxa"/>
              <w:end w:w="110" w:type="dxa"/>
            </w:tcMar>
            <w:shd w:fill="F5F3F9"/>
          </w:tcPr>
          <w:p>
            <w:r>
              <w:rPr>
                <w:b/>
                <w:color w:val="231D31"/>
              </w:rPr>
              <w:t>Transcribing</w:t>
            </w:r>
          </w:p>
        </w:tc>
        <w:tc>
          <w:tcPr>
            <w:tcW w:type="dxa" w:w="5112"/>
            <w:tcMar>
              <w:top w:w="90" w:type="dxa"/>
              <w:start w:w="110" w:type="dxa"/>
              <w:bottom w:w="90" w:type="dxa"/>
              <w:end w:w="110" w:type="dxa"/>
            </w:tcMar>
          </w:tcPr>
          <w:p>
            <w:r>
              <w:t>Uploading a specific chunk and waiting for OpenAI.</w:t>
            </w:r>
          </w:p>
        </w:tc>
      </w:tr>
      <w:tr>
        <w:trPr>
          <w:cantSplit/>
        </w:trPr>
        <w:tc>
          <w:tcPr>
            <w:tcW w:type="dxa" w:w="5112"/>
            <w:tcMar>
              <w:top w:w="90" w:type="dxa"/>
              <w:start w:w="110" w:type="dxa"/>
              <w:bottom w:w="90" w:type="dxa"/>
              <w:end w:w="110" w:type="dxa"/>
            </w:tcMar>
            <w:shd w:fill="F5F3F9"/>
          </w:tcPr>
          <w:p>
            <w:r>
              <w:rPr>
                <w:b/>
                <w:color w:val="231D31"/>
              </w:rPr>
              <w:t>Checkpointing</w:t>
            </w:r>
          </w:p>
        </w:tc>
        <w:tc>
          <w:tcPr>
            <w:tcW w:type="dxa" w:w="5112"/>
            <w:tcMar>
              <w:top w:w="90" w:type="dxa"/>
              <w:start w:w="110" w:type="dxa"/>
              <w:bottom w:w="90" w:type="dxa"/>
              <w:end w:w="110" w:type="dxa"/>
            </w:tcMar>
          </w:tcPr>
          <w:p>
            <w:r>
              <w:t>Persisting a received transcript safely before continuing or honouring cancellation.</w:t>
            </w:r>
          </w:p>
        </w:tc>
      </w:tr>
      <w:tr>
        <w:trPr>
          <w:cantSplit/>
        </w:trPr>
        <w:tc>
          <w:tcPr>
            <w:tcW w:type="dxa" w:w="5112"/>
            <w:tcMar>
              <w:top w:w="90" w:type="dxa"/>
              <w:start w:w="110" w:type="dxa"/>
              <w:bottom w:w="90" w:type="dxa"/>
              <w:end w:w="110" w:type="dxa"/>
            </w:tcMar>
            <w:shd w:fill="F5F3F9"/>
          </w:tcPr>
          <w:p>
            <w:r>
              <w:rPr>
                <w:b/>
                <w:color w:val="231D31"/>
              </w:rPr>
              <w:t>Exporting</w:t>
            </w:r>
          </w:p>
        </w:tc>
        <w:tc>
          <w:tcPr>
            <w:tcW w:type="dxa" w:w="5112"/>
            <w:tcMar>
              <w:top w:w="90" w:type="dxa"/>
              <w:start w:w="110" w:type="dxa"/>
              <w:bottom w:w="90" w:type="dxa"/>
              <w:end w:w="110" w:type="dxa"/>
            </w:tcMar>
          </w:tcPr>
          <w:p>
            <w:r>
              <w:t>Writing TXT/Markdown with unique atomic filenames.</w:t>
            </w:r>
          </w:p>
        </w:tc>
      </w:tr>
      <w:tr>
        <w:trPr>
          <w:cantSplit/>
        </w:trPr>
        <w:tc>
          <w:tcPr>
            <w:tcW w:type="dxa" w:w="5112"/>
            <w:tcMar>
              <w:top w:w="90" w:type="dxa"/>
              <w:start w:w="110" w:type="dxa"/>
              <w:bottom w:w="90" w:type="dxa"/>
              <w:end w:w="110" w:type="dxa"/>
            </w:tcMar>
            <w:shd w:fill="F5F3F9"/>
          </w:tcPr>
          <w:p>
            <w:r>
              <w:rPr>
                <w:b/>
                <w:color w:val="231D31"/>
              </w:rPr>
              <w:t>Completed / failed / skipped</w:t>
            </w:r>
          </w:p>
        </w:tc>
        <w:tc>
          <w:tcPr>
            <w:tcW w:type="dxa" w:w="5112"/>
            <w:tcMar>
              <w:top w:w="90" w:type="dxa"/>
              <w:start w:w="110" w:type="dxa"/>
              <w:bottom w:w="90" w:type="dxa"/>
              <w:end w:w="110" w:type="dxa"/>
            </w:tcMar>
          </w:tcPr>
          <w:p>
            <w:r>
              <w:t>Footer and queue status provide final counts and per-file outcomes.</w:t>
            </w:r>
          </w:p>
        </w:tc>
      </w:tr>
    </w:tbl>
    <w:p>
      <w:pPr>
        <w:pStyle w:val="Heading2"/>
      </w:pPr>
      <w:r>
        <w:t>Cancel safely</w:t>
      </w:r>
    </w:p>
    <w:p>
      <w:pPr>
        <w:pStyle w:val="BodyText"/>
      </w:pPr>
      <w:r>
        <w:t>Cancel requests the run token but does not intentionally throw away text already returned by OpenAI. The coordinator first saves the received response with an independent bounded checkpoint token, then observes cancellation. The interface reports that cancellation is unwinding safely.</w:t>
      </w:r>
    </w:p>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FCECEE"/>
            <w:tcMar>
              <w:top w:w="130" w:type="dxa"/>
              <w:start w:w="170" w:type="dxa"/>
              <w:bottom w:w="130" w:type="dxa"/>
              <w:end w:w="170" w:type="dxa"/>
            </w:tcMar>
          </w:tcPr>
          <w:p>
            <w:pPr>
              <w:spacing w:after="0"/>
            </w:pPr>
            <w:r>
              <w:rPr>
                <w:b/>
                <w:color w:val="A83B4B"/>
              </w:rPr>
              <w:t xml:space="preserve">Do not force-kill: </w:t>
            </w:r>
            <w:r>
              <w:t>After choosing Cancel, wait for the app to finish checkpoint and cleanup work. Force-closing the process defeats the safety design.</w:t>
            </w:r>
          </w:p>
        </w:tc>
      </w:tr>
    </w:tbl>
    <w:p>
      <w:pPr>
        <w:pStyle w:val="Heading2"/>
      </w:pPr>
      <w:r>
        <w:t>Closing the window during work</w:t>
      </w:r>
    </w:p>
    <w:p>
      <w:pPr>
        <w:pStyle w:val="BodyText"/>
      </w:pPr>
      <w:r>
        <w:t>The first close request is deferred while import, API testing, or transcription is active. Cancellation is signalled and the window remains alive until asynchronous finally blocks complete. A second final close occurs only after safe unwind.</w:t>
      </w:r>
    </w:p>
    <w:p>
      <w:pPr>
        <w:pStyle w:val="Heading2"/>
      </w:pPr>
      <w:r>
        <w:t>Continue after a failed file</w:t>
      </w:r>
    </w:p>
    <w:p>
      <w:pPr>
        <w:pStyle w:val="BodyText"/>
      </w:pPr>
      <w:r>
        <w:t>Only known source-file failures and clearly audio/file-specific API failures may continue. Network, protocol, checkpoint, output, unknown, generic HTTP 400/422, and other systemic failures stop the queue to avoid repeating the same defect across all files.</w:t>
      </w:r>
    </w:p>
    <w:p>
      <w:r/>
    </w:p>
    <w:p>
      <w:pPr>
        <w:pStyle w:val="TitlePageHeading"/>
      </w:pPr>
      <w:r>
        <w:t>Checkpoints, resume, and billing safety</w:t>
      </w:r>
    </w:p>
    <w:p>
      <w:pPr>
        <w:pStyle w:val="SubtitleText"/>
      </w:pPr>
      <w:r>
        <w:t>Resume data is treated as safety-critical because it represents already completed API work.</w:t>
      </w:r>
    </w:p>
    <w:p>
      <w:pPr>
        <w:pStyle w:val="Heading2"/>
      </w:pPr>
      <w:r>
        <w:t>What identifies a checkpoint</w:t>
      </w:r>
    </w:p>
    <w:p>
      <w:pPr>
        <w:pStyle w:val="ListBullet"/>
      </w:pPr>
      <w:r>
        <w:t>Source SHA-256, file size, and duration.</w:t>
      </w:r>
    </w:p>
    <w:p>
      <w:pPr>
        <w:pStyle w:val="ListBullet"/>
      </w:pPr>
      <w:r>
        <w:t>Model, normalized language hints, normalized keyword hints, prompt hash, chunk size, maximum duration, and context mode.</w:t>
      </w:r>
    </w:p>
    <w:p>
      <w:pPr>
        <w:pStyle w:val="ListBullet"/>
      </w:pPr>
      <w:r>
        <w:t>Chunk layout and chunker revision.</w:t>
      </w:r>
    </w:p>
    <w:p>
      <w:pPr>
        <w:pStyle w:val="ListBullet"/>
      </w:pPr>
      <w:r>
        <w:t>Per-chunk schema, index, transcript text, and transcript SHA-256.</w:t>
      </w:r>
    </w:p>
    <w:p>
      <w:pPr>
        <w:pStyle w:val="Heading2"/>
      </w:pPr>
      <w:r>
        <w:t>Read policy</w:t>
      </w:r>
    </w:p>
    <w:tbl>
      <w:tblPr>
        <w:tblStyle w:val="TableGrid"/>
        <w:tblW w:type="auto" w:w="0"/>
        <w:jc w:val="center"/>
        <w:tblLook w:firstColumn="1" w:firstRow="1" w:lastColumn="0" w:lastRow="0" w:noHBand="0" w:noVBand="1" w:val="04A0"/>
      </w:tblPr>
      <w:tblGrid>
        <w:gridCol w:w="5112"/>
        <w:gridCol w:w="5112"/>
      </w:tblGrid>
      <w:tr>
        <w:trPr>
          <w:tblHeader w:val="true"/>
          <w:cantSplit/>
        </w:trPr>
        <w:tc>
          <w:tcPr>
            <w:tcW w:type="dxa" w:w="5112"/>
            <w:tcMar>
              <w:top w:w="90" w:type="dxa"/>
              <w:start w:w="110" w:type="dxa"/>
              <w:bottom w:w="90" w:type="dxa"/>
              <w:end w:w="110" w:type="dxa"/>
            </w:tcMar>
            <w:shd w:fill="F5F3F9"/>
          </w:tcPr>
          <w:p>
            <w:r>
              <w:rPr>
                <w:b/>
                <w:color w:val="231D31"/>
              </w:rPr>
              <w:t>Missing file/directory</w:t>
            </w:r>
          </w:p>
        </w:tc>
        <w:tc>
          <w:tcPr>
            <w:tcW w:type="dxa" w:w="5112"/>
            <w:tcMar>
              <w:top w:w="90" w:type="dxa"/>
              <w:start w:w="110" w:type="dxa"/>
              <w:bottom w:w="90" w:type="dxa"/>
              <w:end w:w="110" w:type="dxa"/>
            </w:tcMar>
          </w:tcPr>
          <w:p>
            <w:r>
              <w:t>Treated as no checkpoint.</w:t>
            </w:r>
          </w:p>
        </w:tc>
      </w:tr>
      <w:tr>
        <w:trPr>
          <w:cantSplit/>
        </w:trPr>
        <w:tc>
          <w:tcPr>
            <w:tcW w:type="dxa" w:w="5112"/>
            <w:tcMar>
              <w:top w:w="90" w:type="dxa"/>
              <w:start w:w="110" w:type="dxa"/>
              <w:bottom w:w="90" w:type="dxa"/>
              <w:end w:w="110" w:type="dxa"/>
            </w:tcMar>
            <w:shd w:fill="F5F3F9"/>
          </w:tcPr>
          <w:p>
            <w:r>
              <w:rPr>
                <w:b/>
                <w:color w:val="231D31"/>
              </w:rPr>
              <w:t>Valid matching checkpoint</w:t>
            </w:r>
          </w:p>
        </w:tc>
        <w:tc>
          <w:tcPr>
            <w:tcW w:type="dxa" w:w="5112"/>
            <w:tcMar>
              <w:top w:w="90" w:type="dxa"/>
              <w:start w:w="110" w:type="dxa"/>
              <w:bottom w:w="90" w:type="dxa"/>
              <w:end w:w="110" w:type="dxa"/>
            </w:tcMar>
          </w:tcPr>
          <w:p>
            <w:r>
              <w:t>Reused; no paid request for that chunk.</w:t>
            </w:r>
          </w:p>
        </w:tc>
      </w:tr>
      <w:tr>
        <w:trPr>
          <w:cantSplit/>
        </w:trPr>
        <w:tc>
          <w:tcPr>
            <w:tcW w:type="dxa" w:w="5112"/>
            <w:tcMar>
              <w:top w:w="90" w:type="dxa"/>
              <w:start w:w="110" w:type="dxa"/>
              <w:bottom w:w="90" w:type="dxa"/>
              <w:end w:w="110" w:type="dxa"/>
            </w:tcMar>
            <w:shd w:fill="F5F3F9"/>
          </w:tcPr>
          <w:p>
            <w:r>
              <w:rPr>
                <w:b/>
                <w:color w:val="231D31"/>
              </w:rPr>
              <w:t>Malformed/invalid checkpoint</w:t>
            </w:r>
          </w:p>
        </w:tc>
        <w:tc>
          <w:tcPr>
            <w:tcW w:type="dxa" w:w="5112"/>
            <w:tcMar>
              <w:top w:w="90" w:type="dxa"/>
              <w:start w:w="110" w:type="dxa"/>
              <w:bottom w:w="90" w:type="dxa"/>
              <w:end w:w="110" w:type="dxa"/>
            </w:tcMar>
          </w:tcPr>
          <w:p>
            <w:r>
              <w:t>Must be deleted successfully before another request.</w:t>
            </w:r>
          </w:p>
        </w:tc>
      </w:tr>
      <w:tr>
        <w:trPr>
          <w:cantSplit/>
        </w:trPr>
        <w:tc>
          <w:tcPr>
            <w:tcW w:type="dxa" w:w="5112"/>
            <w:tcMar>
              <w:top w:w="90" w:type="dxa"/>
              <w:start w:w="110" w:type="dxa"/>
              <w:bottom w:w="90" w:type="dxa"/>
              <w:end w:w="110" w:type="dxa"/>
            </w:tcMar>
            <w:shd w:fill="F5F3F9"/>
          </w:tcPr>
          <w:p>
            <w:r>
              <w:rPr>
                <w:b/>
                <w:color w:val="231D31"/>
              </w:rPr>
              <w:t>Unreadable existing checkpoint</w:t>
            </w:r>
          </w:p>
        </w:tc>
        <w:tc>
          <w:tcPr>
            <w:tcW w:type="dxa" w:w="5112"/>
            <w:tcMar>
              <w:top w:w="90" w:type="dxa"/>
              <w:start w:w="110" w:type="dxa"/>
              <w:bottom w:w="90" w:type="dxa"/>
              <w:end w:w="110" w:type="dxa"/>
            </w:tcMar>
          </w:tcPr>
          <w:p>
            <w:r>
              <w:t>Stops the queue. It is never treated as absent.</w:t>
            </w:r>
          </w:p>
        </w:tc>
      </w:tr>
      <w:tr>
        <w:trPr>
          <w:cantSplit/>
        </w:trPr>
        <w:tc>
          <w:tcPr>
            <w:tcW w:type="dxa" w:w="5112"/>
            <w:tcMar>
              <w:top w:w="90" w:type="dxa"/>
              <w:start w:w="110" w:type="dxa"/>
              <w:bottom w:w="90" w:type="dxa"/>
              <w:end w:w="110" w:type="dxa"/>
            </w:tcMar>
            <w:shd w:fill="F5F3F9"/>
          </w:tcPr>
          <w:p>
            <w:r>
              <w:rPr>
                <w:b/>
                <w:color w:val="231D31"/>
              </w:rPr>
              <w:t>Invalid checkpoint cannot be deleted</w:t>
            </w:r>
          </w:p>
        </w:tc>
        <w:tc>
          <w:tcPr>
            <w:tcW w:type="dxa" w:w="5112"/>
            <w:tcMar>
              <w:top w:w="90" w:type="dxa"/>
              <w:start w:w="110" w:type="dxa"/>
              <w:bottom w:w="90" w:type="dxa"/>
              <w:end w:w="110" w:type="dxa"/>
            </w:tcMar>
          </w:tcPr>
          <w:p>
            <w:r>
              <w:t>Stops with CheckpointStorageException to prevent repeated billing.</w:t>
            </w:r>
          </w:p>
        </w:tc>
      </w:tr>
    </w:tbl>
    <w:p>
      <w:pPr>
        <w:pStyle w:val="Heading2"/>
      </w:pPr>
      <w:r>
        <w:t>Write policy</w:t>
      </w:r>
    </w:p>
    <w:p>
      <w:pPr>
        <w:pStyle w:val="ListBullet"/>
      </w:pPr>
      <w:r>
        <w:t>Received text is checkpointed before ordinary cancellation is observed.</w:t>
      </w:r>
    </w:p>
    <w:p>
      <w:pPr>
        <w:pStyle w:val="ListBullet"/>
      </w:pPr>
      <w:r>
        <w:t>The save uses a separate 30-second token.</w:t>
      </w:r>
    </w:p>
    <w:p>
      <w:pPr>
        <w:pStyle w:val="ListBullet"/>
      </w:pPr>
      <w:r>
        <w:t>A unique same-directory CreateNew temporary file prevents collision and is rechecked for link substitution immediately before publication.</w:t>
      </w:r>
    </w:p>
    <w:p>
      <w:pPr>
        <w:pStyle w:val="ListBullet"/>
      </w:pPr>
      <w:r>
        <w:t>Write-through and physical flush improve durability before atomic replacement; inaccessible or unexpected cache content stops the run rather than being treated as absent.</w:t>
      </w:r>
    </w:p>
    <w:p>
      <w:pPr>
        <w:pStyle w:val="ListBullet"/>
      </w:pPr>
      <w:r>
        <w:t>Failure is systemic and stops the queue.</w:t>
      </w:r>
    </w:p>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FCECEE"/>
            <w:tcMar>
              <w:top w:w="130" w:type="dxa"/>
              <w:start w:w="170" w:type="dxa"/>
              <w:bottom w:w="130" w:type="dxa"/>
              <w:end w:w="170" w:type="dxa"/>
            </w:tcMar>
          </w:tcPr>
          <w:p>
            <w:pPr>
              <w:spacing w:after="0"/>
            </w:pPr>
            <w:r>
              <w:rPr>
                <w:b/>
                <w:color w:val="A83B4B"/>
              </w:rPr>
              <w:t xml:space="preserve">Important: </w:t>
            </w:r>
            <w:r>
              <w:t>Do not manually edit checkpoint files. Fix disk space, permissions, read-only attributes, or competing instances before retrying a storage error. Repeatedly pressing Start while storage remains broken can never be a safe recovery method.</w:t>
            </w:r>
          </w:p>
        </w:tc>
      </w:tr>
    </w:tbl>
    <w:p>
      <w:pPr>
        <w:pStyle w:val="Heading2"/>
      </w:pPr>
      <w:r>
        <w:t>Automatic retry billing limitation</w:t>
      </w:r>
    </w:p>
    <w:p>
      <w:pPr>
        <w:pStyle w:val="BodyText"/>
      </w:pPr>
      <w:r>
        <w:t>No local application can prove that a remote request was not completed when the network response is lost. A retry may therefore repeat billable work in rare cases. Version 1.0.27 defaults retries to 0 and makes opt-in explicit.</w:t>
      </w:r>
    </w:p>
    <w:p>
      <w:r/>
    </w:p>
    <w:p>
      <w:pPr>
        <w:pStyle w:val="TitlePageHeading"/>
      </w:pPr>
      <w:r>
        <w:t>Outputs and merge behaviour</w:t>
      </w:r>
    </w:p>
    <w:p>
      <w:pPr>
        <w:pStyle w:val="SubtitleText"/>
      </w:pPr>
      <w:r>
        <w:t>Transcript files are written without overwriting existing work. Each temporary output is write-through, physically flushed, rechecked for link substitution, and atomically moved to a unique final name.</w:t>
      </w:r>
    </w:p>
    <w:p>
      <w:pPr>
        <w:pStyle w:val="Heading2"/>
      </w:pPr>
      <w:r>
        <w:t>Individual files</w:t>
      </w:r>
    </w:p>
    <w:tbl>
      <w:tblPr>
        <w:tblStyle w:val="TableGrid"/>
        <w:tblW w:type="auto" w:w="0"/>
        <w:jc w:val="center"/>
        <w:tblLook w:firstColumn="1" w:firstRow="1" w:lastColumn="0" w:lastRow="0" w:noHBand="0" w:noVBand="1" w:val="04A0"/>
      </w:tblPr>
      <w:tblGrid>
        <w:gridCol w:w="5112"/>
        <w:gridCol w:w="5112"/>
      </w:tblGrid>
      <w:tr>
        <w:trPr>
          <w:tblHeader w:val="true"/>
          <w:cantSplit/>
        </w:trPr>
        <w:tc>
          <w:tcPr>
            <w:tcW w:type="dxa" w:w="5112"/>
            <w:tcMar>
              <w:top w:w="90" w:type="dxa"/>
              <w:start w:w="110" w:type="dxa"/>
              <w:bottom w:w="90" w:type="dxa"/>
              <w:end w:w="110" w:type="dxa"/>
            </w:tcMar>
            <w:shd w:fill="F5F3F9"/>
          </w:tcPr>
          <w:p>
            <w:r>
              <w:rPr>
                <w:b/>
                <w:color w:val="231D31"/>
              </w:rPr>
              <w:t>TXT</w:t>
            </w:r>
          </w:p>
        </w:tc>
        <w:tc>
          <w:tcPr>
            <w:tcW w:type="dxa" w:w="5112"/>
            <w:tcMar>
              <w:top w:w="90" w:type="dxa"/>
              <w:start w:w="110" w:type="dxa"/>
              <w:bottom w:w="90" w:type="dxa"/>
              <w:end w:w="110" w:type="dxa"/>
            </w:tcMar>
          </w:tcPr>
          <w:p>
            <w:r>
              <w:t>recording.mp3.transcript.txt</w:t>
            </w:r>
          </w:p>
        </w:tc>
      </w:tr>
      <w:tr>
        <w:trPr>
          <w:cantSplit/>
        </w:trPr>
        <w:tc>
          <w:tcPr>
            <w:tcW w:type="dxa" w:w="5112"/>
            <w:tcMar>
              <w:top w:w="90" w:type="dxa"/>
              <w:start w:w="110" w:type="dxa"/>
              <w:bottom w:w="90" w:type="dxa"/>
              <w:end w:w="110" w:type="dxa"/>
            </w:tcMar>
            <w:shd w:fill="F5F3F9"/>
          </w:tcPr>
          <w:p>
            <w:r>
              <w:rPr>
                <w:b/>
                <w:color w:val="231D31"/>
              </w:rPr>
              <w:t>Markdown</w:t>
            </w:r>
          </w:p>
        </w:tc>
        <w:tc>
          <w:tcPr>
            <w:tcW w:type="dxa" w:w="5112"/>
            <w:tcMar>
              <w:top w:w="90" w:type="dxa"/>
              <w:start w:w="110" w:type="dxa"/>
              <w:bottom w:w="90" w:type="dxa"/>
              <w:end w:w="110" w:type="dxa"/>
            </w:tcMar>
          </w:tcPr>
          <w:p>
            <w:r>
              <w:t>recording.mp3.transcript.md</w:t>
            </w:r>
          </w:p>
        </w:tc>
      </w:tr>
      <w:tr>
        <w:trPr>
          <w:cantSplit/>
        </w:trPr>
        <w:tc>
          <w:tcPr>
            <w:tcW w:type="dxa" w:w="5112"/>
            <w:tcMar>
              <w:top w:w="90" w:type="dxa"/>
              <w:start w:w="110" w:type="dxa"/>
              <w:bottom w:w="90" w:type="dxa"/>
              <w:end w:w="110" w:type="dxa"/>
            </w:tcMar>
            <w:shd w:fill="F5F3F9"/>
          </w:tcPr>
          <w:p>
            <w:r>
              <w:rPr>
                <w:b/>
                <w:color w:val="231D31"/>
              </w:rPr>
              <w:t>Name collision</w:t>
            </w:r>
          </w:p>
        </w:tc>
        <w:tc>
          <w:tcPr>
            <w:tcW w:type="dxa" w:w="5112"/>
            <w:tcMar>
              <w:top w:w="90" w:type="dxa"/>
              <w:start w:w="110" w:type="dxa"/>
              <w:bottom w:w="90" w:type="dxa"/>
              <w:end w:w="110" w:type="dxa"/>
            </w:tcMar>
          </w:tcPr>
          <w:p>
            <w:r>
              <w:t>recording.mp3.transcript-2.txt, then -3, and so on.</w:t>
            </w:r>
          </w:p>
        </w:tc>
      </w:tr>
      <w:tr>
        <w:trPr>
          <w:cantSplit/>
        </w:trPr>
        <w:tc>
          <w:tcPr>
            <w:tcW w:type="dxa" w:w="5112"/>
            <w:tcMar>
              <w:top w:w="90" w:type="dxa"/>
              <w:start w:w="110" w:type="dxa"/>
              <w:bottom w:w="90" w:type="dxa"/>
              <w:end w:w="110" w:type="dxa"/>
            </w:tcMar>
            <w:shd w:fill="F5F3F9"/>
          </w:tcPr>
          <w:p>
            <w:r>
              <w:rPr>
                <w:b/>
                <w:color w:val="231D31"/>
              </w:rPr>
              <w:t>Encoding</w:t>
            </w:r>
          </w:p>
        </w:tc>
        <w:tc>
          <w:tcPr>
            <w:tcW w:type="dxa" w:w="5112"/>
            <w:tcMar>
              <w:top w:w="90" w:type="dxa"/>
              <w:start w:w="110" w:type="dxa"/>
              <w:bottom w:w="90" w:type="dxa"/>
              <w:end w:w="110" w:type="dxa"/>
            </w:tcMar>
          </w:tcPr>
          <w:p>
            <w:r>
              <w:t>UTF-8 without BOM, with a final newline.</w:t>
            </w:r>
          </w:p>
        </w:tc>
      </w:tr>
      <w:tr>
        <w:trPr>
          <w:cantSplit/>
        </w:trPr>
        <w:tc>
          <w:tcPr>
            <w:tcW w:type="dxa" w:w="5112"/>
            <w:tcMar>
              <w:top w:w="90" w:type="dxa"/>
              <w:start w:w="110" w:type="dxa"/>
              <w:bottom w:w="90" w:type="dxa"/>
              <w:end w:w="110" w:type="dxa"/>
            </w:tcMar>
            <w:shd w:fill="F5F3F9"/>
          </w:tcPr>
          <w:p>
            <w:r>
              <w:rPr>
                <w:b/>
                <w:color w:val="231D31"/>
              </w:rPr>
              <w:t>Timestamps</w:t>
            </w:r>
          </w:p>
        </w:tc>
        <w:tc>
          <w:tcPr>
            <w:tcW w:type="dxa" w:w="5112"/>
            <w:tcMar>
              <w:top w:w="90" w:type="dxa"/>
              <w:start w:w="110" w:type="dxa"/>
              <w:bottom w:w="90" w:type="dxa"/>
              <w:end w:w="110" w:type="dxa"/>
            </w:tcMar>
          </w:tcPr>
          <w:p>
            <w:r>
              <w:t>Optional chunk start-end headings/ranges.</w:t>
            </w:r>
          </w:p>
        </w:tc>
      </w:tr>
    </w:tbl>
    <w:p>
      <w:pPr>
        <w:pStyle w:val="Heading2"/>
      </w:pPr>
      <w:r>
        <w:t>Combined transcript</w:t>
      </w:r>
    </w:p>
    <w:p>
      <w:pPr>
        <w:pStyle w:val="BodyText"/>
      </w:pPr>
      <w:r>
        <w:t>When Merge all queued files is enabled, successful results are written in queue order under the normalised combined title. A complete combined export is deferred when failures or cancellation make the requested set incomplete or unsafe.</w:t>
      </w:r>
    </w:p>
    <w:p>
      <w:pPr>
        <w:pStyle w:val="Heading2"/>
      </w:pPr>
      <w:r>
        <w:t>Atomic output rules</w:t>
      </w:r>
    </w:p>
    <w:p>
      <w:pPr>
        <w:pStyle w:val="ListBullet"/>
      </w:pPr>
      <w:r>
        <w:t>Build content under a bounded in-memory transcript limit.</w:t>
      </w:r>
    </w:p>
    <w:p>
      <w:pPr>
        <w:pStyle w:val="ListBullet"/>
      </w:pPr>
      <w:r>
        <w:t>Write to a unique temporary file in the destination directory.</w:t>
      </w:r>
    </w:p>
    <w:p>
      <w:pPr>
        <w:pStyle w:val="ListBullet"/>
      </w:pPr>
      <w:r>
        <w:t>Atomically move without overwrite to the first available filename.</w:t>
      </w:r>
    </w:p>
    <w:p>
      <w:pPr>
        <w:pStyle w:val="ListBullet"/>
      </w:pPr>
      <w:r>
        <w:t>If one selected format fails, remove already-created sibling outputs best-effort and surface the original error.</w:t>
      </w:r>
    </w:p>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EAF3FB"/>
            <w:tcMar>
              <w:top w:w="130" w:type="dxa"/>
              <w:start w:w="170" w:type="dxa"/>
              <w:bottom w:w="130" w:type="dxa"/>
              <w:end w:w="170" w:type="dxa"/>
            </w:tcMar>
          </w:tcPr>
          <w:p>
            <w:pPr>
              <w:spacing w:after="0"/>
            </w:pPr>
            <w:r>
              <w:rPr>
                <w:b/>
                <w:color w:val="4B8FCC"/>
              </w:rPr>
              <w:t xml:space="preserve">Cloud/network folders: </w:t>
            </w:r>
            <w:r>
              <w:t>Local output is safest. Sync engines and network shares can create temporary locking, access, or atomic-rename differences. A storage error should be fixed before retrying.</w:t>
            </w:r>
          </w:p>
        </w:tc>
      </w:tr>
    </w:tbl>
    <w:p>
      <w:pPr>
        <w:pStyle w:val="BodyText"/>
      </w:pPr>
      <w:r>
        <w:t>After every completed run, the themed dialog reports succeeded, failed, and skipped items, output-file count, elapsed time, and the full output path. Open output folder uses the Windows shell; Close returns to the main queue. Skipped or failed items are labelled completed with issues.</w:t>
      </w:r>
    </w:p>
    <w:p>
      <w:pPr>
        <w:pStyle w:val="Heading2"/>
      </w:pPr>
      <w:r>
        <w:t>Completion window and output folder</w:t>
      </w:r>
    </w:p>
    <w:p>
      <w:pPr>
        <w:pStyle w:val="BodyText"/>
      </w:pPr>
      <w:r>
        <w:t>Use the in-app button to open the exact configured folder. If output seems missing, search for .transcript.txt, .transcript.md, the combined title, and numeric suffixes, then inspect the diagnostic log.</w:t>
      </w:r>
    </w:p>
    <w:p>
      <w:r/>
    </w:p>
    <w:p>
      <w:pPr>
        <w:pStyle w:val="TitlePageHeading"/>
      </w:pPr>
      <w:r>
        <w:t>Troubleshooting: startup and drag-and-drop</w:t>
      </w:r>
    </w:p>
    <w:p>
      <w:pPr>
        <w:pStyle w:val="SubtitleText"/>
      </w:pPr>
      <w:r>
        <w:t>Start with diagnostics; do not guess from a silent double-click.</w:t>
      </w:r>
    </w:p>
    <w:p>
      <w:pPr>
        <w:pStyle w:val="Heading2"/>
      </w:pPr>
      <w:r>
        <w:t>Nothing appears after opening</w:t>
      </w:r>
    </w:p>
    <w:p>
      <w:pPr>
        <w:pStyle w:val="BodyText"/>
        <w:ind w:left="403" w:hanging="403"/>
      </w:pPr>
      <w:r>
        <w:rPr>
          <w:b/>
        </w:rPr>
        <w:t xml:space="preserve">1. </w:t>
      </w:r>
      <w:r>
        <w:t>Extract the package completely; do not run from inside the ZIP.</w:t>
      </w:r>
    </w:p>
    <w:p>
      <w:pPr>
        <w:pStyle w:val="BodyText"/>
        <w:ind w:left="403" w:hanging="403"/>
      </w:pPr>
      <w:r>
        <w:rPr>
          <w:b/>
        </w:rPr>
        <w:t xml:space="preserve">2. </w:t>
      </w:r>
      <w:r>
        <w:t>Run RUN-DIAGNOSTIC.cmd.</w:t>
      </w:r>
    </w:p>
    <w:p>
      <w:pPr>
        <w:pStyle w:val="BodyText"/>
        <w:ind w:left="403" w:hanging="403"/>
      </w:pPr>
      <w:r>
        <w:rPr>
          <w:b/>
        </w:rPr>
        <w:t xml:space="preserve">3. </w:t>
      </w:r>
      <w:r>
        <w:t>Open the managed log folder displayed by the script.</w:t>
      </w:r>
    </w:p>
    <w:p>
      <w:pPr>
        <w:pStyle w:val="BodyText"/>
        <w:ind w:left="403" w:hanging="403"/>
      </w:pPr>
      <w:r>
        <w:rPr>
          <w:b/>
        </w:rPr>
        <w:t xml:space="preserve">4. </w:t>
      </w:r>
      <w:r>
        <w:t>Read the newest CosmicTranscriber log and dotnet-host trace.</w:t>
      </w:r>
    </w:p>
    <w:p>
      <w:pPr>
        <w:pStyle w:val="BodyText"/>
        <w:ind w:left="403" w:hanging="403"/>
      </w:pPr>
      <w:r>
        <w:rPr>
          <w:b/>
        </w:rPr>
        <w:t xml:space="preserve">5. </w:t>
      </w:r>
      <w:r>
        <w:t>Run BUILD.cmd and fix the first restore/build error.</w:t>
      </w:r>
    </w:p>
    <w:p>
      <w:pPr>
        <w:pStyle w:val="BodyText"/>
        <w:ind w:left="403" w:hanging="403"/>
      </w:pPr>
      <w:r>
        <w:rPr>
          <w:b/>
        </w:rPr>
        <w:t xml:space="preserve">6. </w:t>
      </w:r>
      <w:r>
        <w:t>Confirm the current .NET 10 SDK is installed for framework-dependent builds.</w:t>
      </w:r>
    </w:p>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EAF3FB"/>
            <w:tcMar>
              <w:top w:w="130" w:type="dxa"/>
              <w:start w:w="170" w:type="dxa"/>
              <w:bottom w:w="130" w:type="dxa"/>
              <w:end w:w="170" w:type="dxa"/>
            </w:tcMar>
          </w:tcPr>
          <w:p>
            <w:pPr>
              <w:spacing w:after="0"/>
            </w:pPr>
            <w:r>
              <w:rPr>
                <w:b/>
                <w:color w:val="4B8FCC"/>
              </w:rPr>
              <w:t xml:space="preserve">Log preference: </w:t>
            </w:r>
            <w:r>
              <w:t>The app first tries exe\logs, then Local AppData, then the current user temporary folder. Log names contain milliseconds, process ID, and a GUID and are created without overwrite.</w:t>
            </w:r>
          </w:p>
        </w:tc>
      </w:tr>
    </w:tbl>
    <w:p>
      <w:pPr>
        <w:pStyle w:val="Heading2"/>
      </w:pPr>
      <w:r>
        <w:t>Forbidden drag cursor</w:t>
      </w:r>
    </w:p>
    <w:tbl>
      <w:tblPr>
        <w:tblStyle w:val="TableGrid"/>
        <w:tblW w:type="auto" w:w="0"/>
        <w:jc w:val="center"/>
        <w:tblLook w:firstColumn="1" w:firstRow="1" w:lastColumn="0" w:lastRow="0" w:noHBand="0" w:noVBand="1" w:val="04A0"/>
      </w:tblPr>
      <w:tblGrid>
        <w:gridCol w:w="5112"/>
        <w:gridCol w:w="5112"/>
      </w:tblGrid>
      <w:tr>
        <w:trPr>
          <w:tblHeader w:val="true"/>
          <w:cantSplit/>
        </w:trPr>
        <w:tc>
          <w:tcPr>
            <w:tcW w:type="dxa" w:w="5112"/>
            <w:tcMar>
              <w:top w:w="90" w:type="dxa"/>
              <w:start w:w="110" w:type="dxa"/>
              <w:bottom w:w="90" w:type="dxa"/>
              <w:end w:w="110" w:type="dxa"/>
            </w:tcMar>
            <w:shd w:fill="F5F3F9"/>
          </w:tcPr>
          <w:p>
            <w:r>
              <w:rPr>
                <w:b/>
                <w:color w:val="231D31"/>
              </w:rPr>
              <w:t>App elevated</w:t>
            </w:r>
          </w:p>
        </w:tc>
        <w:tc>
          <w:tcPr>
            <w:tcW w:type="dxa" w:w="5112"/>
            <w:tcMar>
              <w:top w:w="90" w:type="dxa"/>
              <w:start w:w="110" w:type="dxa"/>
              <w:bottom w:w="90" w:type="dxa"/>
              <w:end w:w="110" w:type="dxa"/>
            </w:tcMar>
          </w:tcPr>
          <w:p>
            <w:r>
              <w:t>Relaunch normally; clear Run this program as an administrator on EXE and shortcut.</w:t>
            </w:r>
          </w:p>
        </w:tc>
      </w:tr>
      <w:tr>
        <w:trPr>
          <w:cantSplit/>
        </w:trPr>
        <w:tc>
          <w:tcPr>
            <w:tcW w:type="dxa" w:w="5112"/>
            <w:tcMar>
              <w:top w:w="90" w:type="dxa"/>
              <w:start w:w="110" w:type="dxa"/>
              <w:bottom w:w="90" w:type="dxa"/>
              <w:end w:w="110" w:type="dxa"/>
            </w:tcMar>
            <w:shd w:fill="F5F3F9"/>
          </w:tcPr>
          <w:p>
            <w:r>
              <w:rPr>
                <w:b/>
                <w:color w:val="231D31"/>
              </w:rPr>
              <w:t>App busy</w:t>
            </w:r>
          </w:p>
        </w:tc>
        <w:tc>
          <w:tcPr>
            <w:tcW w:type="dxa" w:w="5112"/>
            <w:tcMar>
              <w:top w:w="90" w:type="dxa"/>
              <w:start w:w="110" w:type="dxa"/>
              <w:bottom w:w="90" w:type="dxa"/>
              <w:end w:w="110" w:type="dxa"/>
            </w:tcMar>
          </w:tcPr>
          <w:p>
            <w:r>
              <w:t>Wait until ready. Queue changes are blocked during import/test/run/cancel/close.</w:t>
            </w:r>
          </w:p>
        </w:tc>
      </w:tr>
      <w:tr>
        <w:trPr>
          <w:cantSplit/>
        </w:trPr>
        <w:tc>
          <w:tcPr>
            <w:tcW w:type="dxa" w:w="5112"/>
            <w:tcMar>
              <w:top w:w="90" w:type="dxa"/>
              <w:start w:w="110" w:type="dxa"/>
              <w:bottom w:w="90" w:type="dxa"/>
              <w:end w:w="110" w:type="dxa"/>
            </w:tcMar>
            <w:shd w:fill="F5F3F9"/>
          </w:tcPr>
          <w:p>
            <w:r>
              <w:rPr>
                <w:b/>
                <w:color w:val="231D31"/>
              </w:rPr>
              <w:t>Wrong data</w:t>
            </w:r>
          </w:p>
        </w:tc>
        <w:tc>
          <w:tcPr>
            <w:tcW w:type="dxa" w:w="5112"/>
            <w:tcMar>
              <w:top w:w="90" w:type="dxa"/>
              <w:start w:w="110" w:type="dxa"/>
              <w:bottom w:w="90" w:type="dxa"/>
              <w:end w:w="110" w:type="dxa"/>
            </w:tcMar>
          </w:tcPr>
          <w:p>
            <w:r>
              <w:t>Use MP3 files or folders containing MP3 files.</w:t>
            </w:r>
          </w:p>
        </w:tc>
      </w:tr>
      <w:tr>
        <w:trPr>
          <w:cantSplit/>
        </w:trPr>
        <w:tc>
          <w:tcPr>
            <w:tcW w:type="dxa" w:w="5112"/>
            <w:tcMar>
              <w:top w:w="90" w:type="dxa"/>
              <w:start w:w="110" w:type="dxa"/>
              <w:bottom w:w="90" w:type="dxa"/>
              <w:end w:w="110" w:type="dxa"/>
            </w:tcMar>
            <w:shd w:fill="F5F3F9"/>
          </w:tcPr>
          <w:p>
            <w:r>
              <w:rPr>
                <w:b/>
                <w:color w:val="231D31"/>
              </w:rPr>
              <w:t>Remote desktop/security software</w:t>
            </w:r>
          </w:p>
        </w:tc>
        <w:tc>
          <w:tcPr>
            <w:tcW w:type="dxa" w:w="5112"/>
            <w:tcMar>
              <w:top w:w="90" w:type="dxa"/>
              <w:start w:w="110" w:type="dxa"/>
              <w:bottom w:w="90" w:type="dxa"/>
              <w:end w:w="110" w:type="dxa"/>
            </w:tcMar>
          </w:tcPr>
          <w:p>
            <w:r>
              <w:t>Use copy in Explorer and Paste/Ctrl+V in the app.</w:t>
            </w:r>
          </w:p>
        </w:tc>
      </w:tr>
      <w:tr>
        <w:trPr>
          <w:cantSplit/>
        </w:trPr>
        <w:tc>
          <w:tcPr>
            <w:tcW w:type="dxa" w:w="5112"/>
            <w:tcMar>
              <w:top w:w="90" w:type="dxa"/>
              <w:start w:w="110" w:type="dxa"/>
              <w:bottom w:w="90" w:type="dxa"/>
              <w:end w:w="110" w:type="dxa"/>
            </w:tcMar>
            <w:shd w:fill="F5F3F9"/>
          </w:tcPr>
          <w:p>
            <w:r>
              <w:rPr>
                <w:b/>
                <w:color w:val="231D31"/>
              </w:rPr>
              <w:t>Only some regions reject</w:t>
            </w:r>
          </w:p>
        </w:tc>
        <w:tc>
          <w:tcPr>
            <w:tcW w:type="dxa" w:w="5112"/>
            <w:tcMar>
              <w:top w:w="90" w:type="dxa"/>
              <w:start w:w="110" w:type="dxa"/>
              <w:bottom w:w="90" w:type="dxa"/>
              <w:end w:w="110" w:type="dxa"/>
            </w:tcMar>
          </w:tcPr>
          <w:p>
            <w:r>
              <w:t>Report the exact region; the intended design uses Window preview handlers with handledEventsToo=true.</w:t>
            </w:r>
          </w:p>
        </w:tc>
      </w:tr>
    </w:tbl>
    <w:p>
      <w:pPr>
        <w:pStyle w:val="Heading2"/>
      </w:pPr>
      <w:r>
        <w:t>Window or About does not fit</w:t>
      </w:r>
    </w:p>
    <w:p>
      <w:pPr>
        <w:pStyle w:val="BodyText"/>
      </w:pPr>
      <w:r>
        <w:t>Version 1.0.27 removes the outer horizontal scroll surface that could retain an offset after resize or maximize, uses a smaller responsive footprint, and declares Per-Monitor-V2 DPI awareness. Test resize, maximize/restore, and monitor transitions at the target PC's actual scaling.</w:t>
      </w:r>
      <w:r>
        <w:t xml:space="preserve"> The model and retry selectors now use an application-owned opaque, non-animated popup template with explicit foreground rendering; the final visible model item is enabled and selectable.</w:t>
      </w:r>
    </w:p>
    <w:p>
      <w:r/>
    </w:p>
    <w:p>
      <w:pPr>
        <w:pStyle w:val="TitlePageHeading"/>
      </w:pPr>
      <w:r>
        <w:t>Troubleshooting: API, audio, checkpoints, and output</w:t>
      </w:r>
    </w:p>
    <w:p>
      <w:pPr>
        <w:pStyle w:val="SubtitleText"/>
      </w:pPr>
      <w:r>
        <w:t>Safety errors intentionally stop rather than cascade.</w:t>
      </w:r>
    </w:p>
    <w:tbl>
      <w:tblPr>
        <w:tblStyle w:val="TableGrid"/>
        <w:tblW w:type="auto" w:w="0"/>
        <w:jc w:val="center"/>
        <w:tblLook w:firstColumn="1" w:firstRow="1" w:lastColumn="0" w:lastRow="0" w:noHBand="0" w:noVBand="1" w:val="04A0"/>
      </w:tblPr>
      <w:tblGrid>
        <w:gridCol w:w="5112"/>
        <w:gridCol w:w="5112"/>
      </w:tblGrid>
      <w:tr>
        <w:trPr>
          <w:tblHeader w:val="true"/>
          <w:cantSplit/>
        </w:trPr>
        <w:tc>
          <w:tcPr>
            <w:tcW w:type="dxa" w:w="5112"/>
            <w:tcMar>
              <w:top w:w="90" w:type="dxa"/>
              <w:start w:w="110" w:type="dxa"/>
              <w:bottom w:w="90" w:type="dxa"/>
              <w:end w:w="110" w:type="dxa"/>
            </w:tcMar>
            <w:shd w:fill="F5F3F9"/>
          </w:tcPr>
          <w:p>
            <w:r>
              <w:rPr>
                <w:b/>
                <w:color w:val="231D31"/>
              </w:rPr>
              <w:t>API-key test fails</w:t>
            </w:r>
          </w:p>
        </w:tc>
        <w:tc>
          <w:tcPr>
            <w:tcW w:type="dxa" w:w="5112"/>
            <w:tcMar>
              <w:top w:w="90" w:type="dxa"/>
              <w:start w:w="110" w:type="dxa"/>
              <w:bottom w:w="90" w:type="dxa"/>
              <w:end w:w="110" w:type="dxa"/>
            </w:tcMar>
          </w:tcPr>
          <w:p>
            <w:r>
              <w:t>Re-paste key, verify API project/model access, outbound HTTPS, credit/limits, and the structured error details.</w:t>
            </w:r>
          </w:p>
        </w:tc>
      </w:tr>
      <w:tr>
        <w:trPr>
          <w:cantSplit/>
        </w:trPr>
        <w:tc>
          <w:tcPr>
            <w:tcW w:type="dxa" w:w="5112"/>
            <w:tcMar>
              <w:top w:w="90" w:type="dxa"/>
              <w:start w:w="110" w:type="dxa"/>
              <w:bottom w:w="90" w:type="dxa"/>
              <w:end w:w="110" w:type="dxa"/>
            </w:tcMar>
            <w:shd w:fill="F5F3F9"/>
          </w:tcPr>
          <w:p>
            <w:r>
              <w:rPr>
                <w:b/>
                <w:color w:val="231D31"/>
              </w:rPr>
              <w:t>HTTP 400/422 stops queue</w:t>
            </w:r>
          </w:p>
        </w:tc>
        <w:tc>
          <w:tcPr>
            <w:tcW w:type="dxa" w:w="5112"/>
            <w:tcMar>
              <w:top w:w="90" w:type="dxa"/>
              <w:start w:w="110" w:type="dxa"/>
              <w:bottom w:w="90" w:type="dxa"/>
              <w:end w:w="110" w:type="dxa"/>
            </w:tcMar>
          </w:tcPr>
          <w:p>
            <w:r>
              <w:t>Correct a systemic model/request/account/key/service issue. Only clearly audio/file-specific errors may continue.</w:t>
            </w:r>
          </w:p>
        </w:tc>
      </w:tr>
      <w:tr>
        <w:trPr>
          <w:cantSplit/>
        </w:trPr>
        <w:tc>
          <w:tcPr>
            <w:tcW w:type="dxa" w:w="5112"/>
            <w:tcMar>
              <w:top w:w="90" w:type="dxa"/>
              <w:start w:w="110" w:type="dxa"/>
              <w:bottom w:w="90" w:type="dxa"/>
              <w:end w:w="110" w:type="dxa"/>
            </w:tcMar>
            <w:shd w:fill="F5F3F9"/>
          </w:tcPr>
          <w:p>
            <w:r>
              <w:rPr>
                <w:b/>
                <w:color w:val="231D31"/>
              </w:rPr>
              <w:t>MP3 will not import</w:t>
            </w:r>
          </w:p>
        </w:tc>
        <w:tc>
          <w:tcPr>
            <w:tcW w:type="dxa" w:w="5112"/>
            <w:tcMar>
              <w:top w:w="90" w:type="dxa"/>
              <w:start w:w="110" w:type="dxa"/>
              <w:bottom w:w="90" w:type="dxa"/>
              <w:end w:w="110" w:type="dxa"/>
            </w:tcMar>
          </w:tcPr>
          <w:p>
            <w:r>
              <w:t>Confirm .mp3 extension, complete local file, readable permissions, and valid playback. Other formats are rejected.</w:t>
            </w:r>
          </w:p>
        </w:tc>
      </w:tr>
      <w:tr>
        <w:trPr>
          <w:cantSplit/>
        </w:trPr>
        <w:tc>
          <w:tcPr>
            <w:tcW w:type="dxa" w:w="5112"/>
            <w:tcMar>
              <w:top w:w="90" w:type="dxa"/>
              <w:start w:w="110" w:type="dxa"/>
              <w:bottom w:w="90" w:type="dxa"/>
              <w:end w:w="110" w:type="dxa"/>
            </w:tcMar>
            <w:shd w:fill="F5F3F9"/>
          </w:tcPr>
          <w:p>
            <w:r>
              <w:rPr>
                <w:b/>
                <w:color w:val="231D31"/>
              </w:rPr>
              <w:t>Source changed</w:t>
            </w:r>
          </w:p>
        </w:tc>
        <w:tc>
          <w:tcPr>
            <w:tcW w:type="dxa" w:w="5112"/>
            <w:tcMar>
              <w:top w:w="90" w:type="dxa"/>
              <w:start w:w="110" w:type="dxa"/>
              <w:bottom w:w="90" w:type="dxa"/>
              <w:end w:w="110" w:type="dxa"/>
            </w:tcMar>
          </w:tcPr>
          <w:p>
            <w:r>
              <w:t>Finish editing/copying, remove from queue, and re-add so hash/duration/checkpoints are trustworthy.</w:t>
            </w:r>
          </w:p>
        </w:tc>
      </w:tr>
      <w:tr>
        <w:trPr>
          <w:cantSplit/>
        </w:trPr>
        <w:tc>
          <w:tcPr>
            <w:tcW w:type="dxa" w:w="5112"/>
            <w:tcMar>
              <w:top w:w="90" w:type="dxa"/>
              <w:start w:w="110" w:type="dxa"/>
              <w:bottom w:w="90" w:type="dxa"/>
              <w:end w:w="110" w:type="dxa"/>
            </w:tcMar>
            <w:shd w:fill="F5F3F9"/>
          </w:tcPr>
          <w:p>
            <w:r>
              <w:rPr>
                <w:b/>
                <w:color w:val="231D31"/>
              </w:rPr>
              <w:t>Checkpoint error</w:t>
            </w:r>
          </w:p>
        </w:tc>
        <w:tc>
          <w:tcPr>
            <w:tcW w:type="dxa" w:w="5112"/>
            <w:tcMar>
              <w:top w:w="90" w:type="dxa"/>
              <w:start w:w="110" w:type="dxa"/>
              <w:bottom w:w="90" w:type="dxa"/>
              <w:end w:w="110" w:type="dxa"/>
            </w:tcMar>
          </w:tcPr>
          <w:p>
            <w:r>
              <w:t>Close other instances, check disk space and read/write/delete permissions, then retry only after storage is fixed.</w:t>
            </w:r>
          </w:p>
        </w:tc>
      </w:tr>
      <w:tr>
        <w:trPr>
          <w:cantSplit/>
        </w:trPr>
        <w:tc>
          <w:tcPr>
            <w:tcW w:type="dxa" w:w="5112"/>
            <w:tcMar>
              <w:top w:w="90" w:type="dxa"/>
              <w:start w:w="110" w:type="dxa"/>
              <w:bottom w:w="90" w:type="dxa"/>
              <w:end w:w="110" w:type="dxa"/>
            </w:tcMar>
            <w:shd w:fill="F5F3F9"/>
          </w:tcPr>
          <w:p>
            <w:r>
              <w:rPr>
                <w:b/>
                <w:color w:val="231D31"/>
              </w:rPr>
              <w:t>Output missing</w:t>
            </w:r>
          </w:p>
        </w:tc>
        <w:tc>
          <w:tcPr>
            <w:tcW w:type="dxa" w:w="5112"/>
            <w:tcMar>
              <w:top w:w="90" w:type="dxa"/>
              <w:start w:w="110" w:type="dxa"/>
              <w:bottom w:w="90" w:type="dxa"/>
              <w:end w:w="110" w:type="dxa"/>
            </w:tcMar>
          </w:tcPr>
          <w:p>
            <w:r>
              <w:t>Open exact configured folder, check numeric suffixes, and inspect export/storage logs.</w:t>
            </w:r>
          </w:p>
        </w:tc>
      </w:tr>
      <w:tr>
        <w:trPr>
          <w:cantSplit/>
        </w:trPr>
        <w:tc>
          <w:tcPr>
            <w:tcW w:type="dxa" w:w="5112"/>
            <w:tcMar>
              <w:top w:w="90" w:type="dxa"/>
              <w:start w:w="110" w:type="dxa"/>
              <w:bottom w:w="90" w:type="dxa"/>
              <w:end w:w="110" w:type="dxa"/>
            </w:tcMar>
            <w:shd w:fill="F5F3F9"/>
          </w:tcPr>
          <w:p>
            <w:r>
              <w:rPr>
                <w:b/>
                <w:color w:val="231D31"/>
              </w:rPr>
              <w:t>Start disabled</w:t>
            </w:r>
          </w:p>
        </w:tc>
        <w:tc>
          <w:tcPr>
            <w:tcW w:type="dxa" w:w="5112"/>
            <w:tcMar>
              <w:top w:w="90" w:type="dxa"/>
              <w:start w:w="110" w:type="dxa"/>
              <w:bottom w:w="90" w:type="dxa"/>
              <w:end w:w="110" w:type="dxa"/>
            </w:tcMar>
          </w:tcPr>
          <w:p>
            <w:r>
              <w:t>Queue a file, load key, enable TXT/Markdown, use valid writable output and valid settings, and wait until idle.</w:t>
            </w:r>
          </w:p>
        </w:tc>
      </w:tr>
    </w:tbl>
    <w:p>
      <w:pPr>
        <w:pStyle w:val="Heading2"/>
      </w:pPr>
      <w:r>
        <w:t>Secure local vault problem</w:t>
      </w:r>
    </w:p>
    <w:p>
      <w:pPr>
        <w:pStyle w:val="BodyText"/>
      </w:pPr>
      <w:r>
        <w:t>DPAPI-protected data belongs to the current Windows user/profile. A copied vault file from another user cannot be decrypted. If secure storage fails, use a session key or OPENAI_API_KEY while correcting the settings-folder or security-policy issue.</w:t>
      </w:r>
    </w:p>
    <w:p>
      <w:pPr>
        <w:pStyle w:val="Heading2"/>
      </w:pPr>
      <w:r>
        <w:t>What to include in a defect report</w:t>
      </w:r>
    </w:p>
    <w:p>
      <w:pPr>
        <w:pStyle w:val="ListBullet"/>
      </w:pPr>
      <w:r>
        <w:t>v1.0.27 from the header/About window.</w:t>
      </w:r>
    </w:p>
    <w:p>
      <w:pPr>
        <w:pStyle w:val="ListBullet"/>
      </w:pPr>
      <w:r>
        <w:t>Exact steps, expected result, and actual result.</w:t>
      </w:r>
    </w:p>
    <w:p>
      <w:pPr>
        <w:pStyle w:val="ListBullet"/>
      </w:pPr>
      <w:r>
        <w:t>Relevant diagnostic log with API keys removed.</w:t>
      </w:r>
    </w:p>
    <w:p>
      <w:pPr>
        <w:pStyle w:val="ListBullet"/>
      </w:pPr>
      <w:r>
        <w:t>Windows version, display scaling, monitor/remote-desktop details.</w:t>
      </w:r>
    </w:p>
    <w:p>
      <w:pPr>
        <w:pStyle w:val="ListBullet"/>
      </w:pPr>
      <w:r>
        <w:t>Whether Explorer or the app was elevated.</w:t>
      </w:r>
    </w:p>
    <w:p>
      <w:pPr>
        <w:pStyle w:val="ListBullet"/>
      </w:pPr>
      <w:r>
        <w:t>A small non-sensitive sample only when the defect is media-specific.</w:t>
      </w:r>
    </w:p>
    <w:p>
      <w:r/>
    </w:p>
    <w:p>
      <w:pPr>
        <w:pStyle w:val="TitlePageHeading"/>
      </w:pPr>
      <w:r>
        <w:t>Privacy, security, and logs</w:t>
      </w:r>
    </w:p>
    <w:p>
      <w:pPr>
        <w:pStyle w:val="SubtitleText"/>
      </w:pPr>
      <w:r>
        <w:t>Understand what stays local, what is uploaded, and what must remain secret.</w:t>
      </w:r>
    </w:p>
    <w:tbl>
      <w:tblPr>
        <w:tblStyle w:val="TableGrid"/>
        <w:tblW w:type="auto" w:w="0"/>
        <w:jc w:val="center"/>
        <w:tblLook w:firstColumn="1" w:firstRow="1" w:lastColumn="0" w:lastRow="0" w:noHBand="0" w:noVBand="1" w:val="04A0"/>
      </w:tblPr>
      <w:tblGrid>
        <w:gridCol w:w="5112"/>
        <w:gridCol w:w="5112"/>
      </w:tblGrid>
      <w:tr>
        <w:trPr>
          <w:tblHeader w:val="true"/>
          <w:cantSplit/>
        </w:trPr>
        <w:tc>
          <w:tcPr>
            <w:tcW w:type="dxa" w:w="5112"/>
            <w:tcMar>
              <w:top w:w="90" w:type="dxa"/>
              <w:start w:w="110" w:type="dxa"/>
              <w:bottom w:w="90" w:type="dxa"/>
              <w:end w:w="110" w:type="dxa"/>
            </w:tcMar>
            <w:shd w:fill="F5F3F9"/>
          </w:tcPr>
          <w:p>
            <w:r>
              <w:rPr>
                <w:b/>
                <w:color w:val="231D31"/>
              </w:rPr>
              <w:t>Audio</w:t>
            </w:r>
          </w:p>
        </w:tc>
        <w:tc>
          <w:tcPr>
            <w:tcW w:type="dxa" w:w="5112"/>
            <w:tcMar>
              <w:top w:w="90" w:type="dxa"/>
              <w:start w:w="110" w:type="dxa"/>
              <w:bottom w:w="90" w:type="dxa"/>
              <w:end w:w="110" w:type="dxa"/>
            </w:tcMar>
          </w:tcPr>
          <w:p>
            <w:r>
              <w:t>Uploaded to OpenAI only after Start transcription and only as prepared MP3 chunks.</w:t>
            </w:r>
          </w:p>
        </w:tc>
      </w:tr>
      <w:tr>
        <w:trPr>
          <w:cantSplit/>
        </w:trPr>
        <w:tc>
          <w:tcPr>
            <w:tcW w:type="dxa" w:w="5112"/>
            <w:tcMar>
              <w:top w:w="90" w:type="dxa"/>
              <w:start w:w="110" w:type="dxa"/>
              <w:bottom w:w="90" w:type="dxa"/>
              <w:end w:w="110" w:type="dxa"/>
            </w:tcMar>
            <w:shd w:fill="F5F3F9"/>
          </w:tcPr>
          <w:p>
            <w:r>
              <w:rPr>
                <w:b/>
                <w:color w:val="231D31"/>
              </w:rPr>
              <w:t>API key</w:t>
            </w:r>
          </w:p>
        </w:tc>
        <w:tc>
          <w:tcPr>
            <w:tcW w:type="dxa" w:w="5112"/>
            <w:tcMar>
              <w:top w:w="90" w:type="dxa"/>
              <w:start w:w="110" w:type="dxa"/>
              <w:bottom w:w="90" w:type="dxa"/>
              <w:end w:w="110" w:type="dxa"/>
            </w:tcMar>
          </w:tcPr>
          <w:p>
            <w:r>
              <w:t>Sent in bearer authentication; masked in UI by default; excluded from ordinary logs.</w:t>
            </w:r>
          </w:p>
        </w:tc>
      </w:tr>
      <w:tr>
        <w:trPr>
          <w:cantSplit/>
        </w:trPr>
        <w:tc>
          <w:tcPr>
            <w:tcW w:type="dxa" w:w="5112"/>
            <w:tcMar>
              <w:top w:w="90" w:type="dxa"/>
              <w:start w:w="110" w:type="dxa"/>
              <w:bottom w:w="90" w:type="dxa"/>
              <w:end w:w="110" w:type="dxa"/>
            </w:tcMar>
            <w:shd w:fill="F5F3F9"/>
          </w:tcPr>
          <w:p>
            <w:r>
              <w:rPr>
                <w:b/>
                <w:color w:val="231D31"/>
              </w:rPr>
              <w:t>Saved key</w:t>
            </w:r>
          </w:p>
        </w:tc>
        <w:tc>
          <w:tcPr>
            <w:tcW w:type="dxa" w:w="5112"/>
            <w:tcMar>
              <w:top w:w="90" w:type="dxa"/>
              <w:start w:w="110" w:type="dxa"/>
              <w:bottom w:w="90" w:type="dxa"/>
              <w:end w:w="110" w:type="dxa"/>
            </w:tcMar>
          </w:tcPr>
          <w:p>
            <w:r>
              <w:t>Optional current-user DPAPI-protected file.</w:t>
            </w:r>
          </w:p>
        </w:tc>
      </w:tr>
      <w:tr>
        <w:trPr>
          <w:cantSplit/>
        </w:trPr>
        <w:tc>
          <w:tcPr>
            <w:tcW w:type="dxa" w:w="5112"/>
            <w:tcMar>
              <w:top w:w="90" w:type="dxa"/>
              <w:start w:w="110" w:type="dxa"/>
              <w:bottom w:w="90" w:type="dxa"/>
              <w:end w:w="110" w:type="dxa"/>
            </w:tcMar>
            <w:shd w:fill="F5F3F9"/>
          </w:tcPr>
          <w:p>
            <w:r>
              <w:rPr>
                <w:b/>
                <w:color w:val="231D31"/>
              </w:rPr>
              <w:t>Settings</w:t>
            </w:r>
          </w:p>
        </w:tc>
        <w:tc>
          <w:tcPr>
            <w:tcW w:type="dxa" w:w="5112"/>
            <w:tcMar>
              <w:top w:w="90" w:type="dxa"/>
              <w:start w:w="110" w:type="dxa"/>
              <w:bottom w:w="90" w:type="dxa"/>
              <w:end w:w="110" w:type="dxa"/>
            </w:tcMar>
          </w:tcPr>
          <w:p>
            <w:r>
              <w:t>Local bounded JSON in the first verified writable settings directory. Valid options autosave after a short pause; queue/progress/log state and session-only key material are excluded.</w:t>
            </w:r>
          </w:p>
        </w:tc>
      </w:tr>
      <w:tr>
        <w:trPr>
          <w:cantSplit/>
        </w:trPr>
        <w:tc>
          <w:tcPr>
            <w:tcW w:type="dxa" w:w="5112"/>
            <w:tcMar>
              <w:top w:w="90" w:type="dxa"/>
              <w:start w:w="110" w:type="dxa"/>
              <w:bottom w:w="90" w:type="dxa"/>
              <w:end w:w="110" w:type="dxa"/>
            </w:tcMar>
            <w:shd w:fill="F5F3F9"/>
          </w:tcPr>
          <w:p>
            <w:r>
              <w:rPr>
                <w:b/>
                <w:color w:val="231D31"/>
              </w:rPr>
              <w:t>Checkpoints</w:t>
            </w:r>
          </w:p>
        </w:tc>
        <w:tc>
          <w:tcPr>
            <w:tcW w:type="dxa" w:w="5112"/>
            <w:tcMar>
              <w:top w:w="90" w:type="dxa"/>
              <w:start w:w="110" w:type="dxa"/>
              <w:bottom w:w="90" w:type="dxa"/>
              <w:end w:w="110" w:type="dxa"/>
            </w:tcMar>
          </w:tcPr>
          <w:p>
            <w:r>
              <w:t>Local private cache derived from output path/source/settings. Contains transcript text for resume.</w:t>
            </w:r>
          </w:p>
        </w:tc>
      </w:tr>
      <w:tr>
        <w:trPr>
          <w:cantSplit/>
        </w:trPr>
        <w:tc>
          <w:tcPr>
            <w:tcW w:type="dxa" w:w="5112"/>
            <w:tcMar>
              <w:top w:w="90" w:type="dxa"/>
              <w:start w:w="110" w:type="dxa"/>
              <w:bottom w:w="90" w:type="dxa"/>
              <w:end w:w="110" w:type="dxa"/>
            </w:tcMar>
            <w:shd w:fill="F5F3F9"/>
          </w:tcPr>
          <w:p>
            <w:r>
              <w:rPr>
                <w:b/>
                <w:color w:val="231D31"/>
              </w:rPr>
              <w:t>Transcripts</w:t>
            </w:r>
          </w:p>
        </w:tc>
        <w:tc>
          <w:tcPr>
            <w:tcW w:type="dxa" w:w="5112"/>
            <w:tcMar>
              <w:top w:w="90" w:type="dxa"/>
              <w:start w:w="110" w:type="dxa"/>
              <w:bottom w:w="90" w:type="dxa"/>
              <w:end w:w="110" w:type="dxa"/>
            </w:tcMar>
          </w:tcPr>
          <w:p>
            <w:r>
              <w:t>Local TXT/Markdown in the configured output folder.</w:t>
            </w:r>
          </w:p>
        </w:tc>
      </w:tr>
      <w:tr>
        <w:trPr>
          <w:cantSplit/>
        </w:trPr>
        <w:tc>
          <w:tcPr>
            <w:tcW w:type="dxa" w:w="5112"/>
            <w:tcMar>
              <w:top w:w="90" w:type="dxa"/>
              <w:start w:w="110" w:type="dxa"/>
              <w:bottom w:w="90" w:type="dxa"/>
              <w:end w:w="110" w:type="dxa"/>
            </w:tcMar>
            <w:shd w:fill="F5F3F9"/>
          </w:tcPr>
          <w:p>
            <w:r>
              <w:rPr>
                <w:b/>
                <w:color w:val="231D31"/>
              </w:rPr>
              <w:t>Logs</w:t>
            </w:r>
          </w:p>
        </w:tc>
        <w:tc>
          <w:tcPr>
            <w:tcW w:type="dxa" w:w="5112"/>
            <w:tcMar>
              <w:top w:w="90" w:type="dxa"/>
              <w:start w:w="110" w:type="dxa"/>
              <w:bottom w:w="90" w:type="dxa"/>
              <w:end w:w="110" w:type="dxa"/>
            </w:tcMar>
          </w:tcPr>
          <w:p>
            <w:r>
              <w:t>Local diagnostic text. Designed not to include API key or full audio.</w:t>
            </w:r>
          </w:p>
        </w:tc>
      </w:tr>
    </w:tbl>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FCECEE"/>
            <w:tcMar>
              <w:top w:w="130" w:type="dxa"/>
              <w:start w:w="170" w:type="dxa"/>
              <w:bottom w:w="130" w:type="dxa"/>
              <w:end w:w="170" w:type="dxa"/>
            </w:tcMar>
          </w:tcPr>
          <w:p>
            <w:pPr>
              <w:spacing w:after="0"/>
            </w:pPr>
            <w:r>
              <w:rPr>
                <w:b/>
                <w:color w:val="A83B4B"/>
              </w:rPr>
              <w:t xml:space="preserve">Sensitive content: </w:t>
            </w:r>
            <w:r>
              <w:t>Checkpoints and transcripts contain speech-derived text. Protect the output/cache folders according to the sensitivity of the recording.</w:t>
            </w:r>
          </w:p>
        </w:tc>
      </w:tr>
    </w:tbl>
    <w:p>
      <w:pPr>
        <w:pStyle w:val="Heading2"/>
      </w:pPr>
      <w:r>
        <w:t>Settings autosave and storage fallback</w:t>
      </w:r>
    </w:p>
    <w:p>
      <w:pPr>
        <w:pStyle w:val="BodyText"/>
      </w:pPr>
      <w:r>
        <w:t>Valid ordinary settings save after a 900 ms quiet period. The app tests Local AppData, current-user temporary storage, and executable-adjacent fallback by actually creating, writing, flushing, and deleting a probe. The queue, progress, activity log, and session-only key are not ordinary settings. A remembered API key is stored separately as a current-user DPAPI-protected file.</w:t>
      </w:r>
    </w:p>
    <w:p>
      <w:pPr>
        <w:pStyle w:val="Heading2"/>
      </w:pPr>
      <w:r>
        <w:t>No hidden affiliation</w:t>
      </w:r>
    </w:p>
    <w:p>
      <w:pPr>
        <w:pStyle w:val="BodyText"/>
      </w:pPr>
      <w:r>
        <w:t>Cosmic Transcriber is independent software. OpenAI controls its API service, policies, retention, account rules, model availability, and pricing. The app does not imply endorsement.</w:t>
      </w:r>
    </w:p>
    <w:p>
      <w:pPr>
        <w:pStyle w:val="Heading2"/>
      </w:pPr>
      <w:r>
        <w:t>Log hygiene</w:t>
      </w:r>
    </w:p>
    <w:p>
      <w:pPr>
        <w:pStyle w:val="ListBullet"/>
      </w:pPr>
      <w:r>
        <w:t>Review logs before sharing.</w:t>
      </w:r>
    </w:p>
    <w:p>
      <w:pPr>
        <w:pStyle w:val="ListBullet"/>
      </w:pPr>
      <w:r>
        <w:t>Remove personal filenames/paths or transcript snippets when necessary.</w:t>
      </w:r>
    </w:p>
    <w:p>
      <w:pPr>
        <w:pStyle w:val="ListBullet"/>
      </w:pPr>
      <w:r>
        <w:t>Never paste an API key into a support message.</w:t>
      </w:r>
    </w:p>
    <w:p>
      <w:pPr>
        <w:pStyle w:val="ListBullet"/>
      </w:pPr>
      <w:r>
        <w:t>Use RUN-DIAGNOSTIC.cmd for startup failures; the command window reports exact paths.</w:t>
      </w:r>
    </w:p>
    <w:p>
      <w:r/>
    </w:p>
    <w:p>
      <w:pPr>
        <w:pStyle w:val="TitlePageHeading"/>
      </w:pPr>
      <w:r>
        <w:t>Build, run, diagnostic, and publish</w:t>
      </w:r>
    </w:p>
    <w:p>
      <w:pPr>
        <w:pStyle w:val="SubtitleText"/>
      </w:pPr>
      <w:r>
        <w:t>Four Windows scripts cover the normal lifecycle.</w:t>
      </w:r>
    </w:p>
    <w:tbl>
      <w:tblPr>
        <w:tblStyle w:val="TableGrid"/>
        <w:tblW w:type="auto" w:w="0"/>
        <w:jc w:val="center"/>
        <w:tblLook w:firstColumn="1" w:firstRow="1" w:lastColumn="0" w:lastRow="0" w:noHBand="0" w:noVBand="1" w:val="04A0"/>
      </w:tblPr>
      <w:tblGrid>
        <w:gridCol w:w="5112"/>
        <w:gridCol w:w="5112"/>
      </w:tblGrid>
      <w:tr>
        <w:trPr>
          <w:tblHeader w:val="true"/>
          <w:tblHeader w:val="true"/>
          <w:cantSplit/>
        </w:trPr>
        <w:tc>
          <w:tcPr>
            <w:tcW w:type="dxa" w:w="5112"/>
            <w:shd w:fill="17112F"/>
            <w:tcMar>
              <w:top w:w="90" w:type="dxa"/>
              <w:start w:w="110" w:type="dxa"/>
              <w:bottom w:w="90" w:type="dxa"/>
              <w:end w:w="110" w:type="dxa"/>
            </w:tcMar>
          </w:tcPr>
          <w:p>
            <w:r>
              <w:rPr>
                <w:b/>
                <w:color w:val="FFFFFF"/>
              </w:rPr>
              <w:t>Script</w:t>
            </w:r>
          </w:p>
        </w:tc>
        <w:tc>
          <w:tcPr>
            <w:tcW w:type="dxa" w:w="5112"/>
            <w:shd w:fill="17112F"/>
            <w:tcMar>
              <w:top w:w="90" w:type="dxa"/>
              <w:start w:w="110" w:type="dxa"/>
              <w:bottom w:w="90" w:type="dxa"/>
              <w:end w:w="110" w:type="dxa"/>
            </w:tcMar>
          </w:tcPr>
          <w:p>
            <w:r>
              <w:rPr>
                <w:b/>
                <w:color w:val="FFFFFF"/>
              </w:rPr>
              <w:t>Purpose</w:t>
            </w:r>
          </w:p>
        </w:tc>
      </w:tr>
      <w:tr>
        <w:trPr>
          <w:cantSplit/>
        </w:trPr>
        <w:tc>
          <w:tcPr>
            <w:tcW w:type="dxa" w:w="5112"/>
            <w:tcMar>
              <w:top w:w="90" w:type="dxa"/>
              <w:start w:w="110" w:type="dxa"/>
              <w:bottom w:w="90" w:type="dxa"/>
              <w:end w:w="110" w:type="dxa"/>
            </w:tcMar>
            <w:shd w:fill="F5F3F9"/>
          </w:tcPr>
          <w:p>
            <w:r>
              <w:rPr>
                <w:b/>
                <w:color w:val="231D31"/>
              </w:rPr>
              <w:t>BUILD.cmd</w:t>
            </w:r>
          </w:p>
        </w:tc>
        <w:tc>
          <w:tcPr>
            <w:tcW w:type="dxa" w:w="5112"/>
            <w:tcMar>
              <w:top w:w="90" w:type="dxa"/>
              <w:start w:w="110" w:type="dxa"/>
              <w:bottom w:w="90" w:type="dxa"/>
              <w:end w:w="110" w:type="dxa"/>
            </w:tcMar>
          </w:tcPr>
          <w:p>
            <w:r>
              <w:t>Restores packages, performs the mandatory Release C# compilation, and verifies the expected executable.</w:t>
            </w:r>
          </w:p>
        </w:tc>
      </w:tr>
      <w:tr>
        <w:trPr>
          <w:cantSplit/>
        </w:trPr>
        <w:tc>
          <w:tcPr>
            <w:tcW w:type="dxa" w:w="5112"/>
            <w:tcMar>
              <w:top w:w="90" w:type="dxa"/>
              <w:start w:w="110" w:type="dxa"/>
              <w:bottom w:w="90" w:type="dxa"/>
              <w:end w:w="110" w:type="dxa"/>
            </w:tcMar>
            <w:shd w:fill="F5F3F9"/>
          </w:tcPr>
          <w:p>
            <w:r>
              <w:rPr>
                <w:b/>
                <w:color w:val="231D31"/>
              </w:rPr>
              <w:t>RUN.cmd</w:t>
            </w:r>
          </w:p>
        </w:tc>
        <w:tc>
          <w:tcPr>
            <w:tcW w:type="dxa" w:w="5112"/>
            <w:tcMar>
              <w:top w:w="90" w:type="dxa"/>
              <w:start w:w="110" w:type="dxa"/>
              <w:bottom w:w="90" w:type="dxa"/>
              <w:end w:w="110" w:type="dxa"/>
            </w:tcMar>
          </w:tcPr>
          <w:p>
            <w:r>
              <w:t>Calls BUILD.cmd, then launches the Release EXE.</w:t>
            </w:r>
          </w:p>
        </w:tc>
      </w:tr>
      <w:tr>
        <w:trPr>
          <w:cantSplit/>
        </w:trPr>
        <w:tc>
          <w:tcPr>
            <w:tcW w:type="dxa" w:w="5112"/>
            <w:tcMar>
              <w:top w:w="90" w:type="dxa"/>
              <w:start w:w="110" w:type="dxa"/>
              <w:bottom w:w="90" w:type="dxa"/>
              <w:end w:w="110" w:type="dxa"/>
            </w:tcMar>
            <w:shd w:fill="F5F3F9"/>
          </w:tcPr>
          <w:p>
            <w:r>
              <w:rPr>
                <w:b/>
                <w:color w:val="231D31"/>
              </w:rPr>
              <w:t>RUN-DIAGNOSTIC.cmd</w:t>
            </w:r>
          </w:p>
        </w:tc>
        <w:tc>
          <w:tcPr>
            <w:tcW w:type="dxa" w:w="5112"/>
            <w:tcMar>
              <w:top w:w="90" w:type="dxa"/>
              <w:start w:w="110" w:type="dxa"/>
              <w:bottom w:w="90" w:type="dxa"/>
              <w:end w:w="110" w:type="dxa"/>
            </w:tcMar>
          </w:tcPr>
          <w:p>
            <w:r>
              <w:t>Builds, enables .NET host tracing, launches synchronously, opens the log folder, and reports exit code.</w:t>
            </w:r>
          </w:p>
        </w:tc>
      </w:tr>
      <w:tr>
        <w:trPr>
          <w:cantSplit/>
        </w:trPr>
        <w:tc>
          <w:tcPr>
            <w:tcW w:type="dxa" w:w="5112"/>
            <w:tcMar>
              <w:top w:w="90" w:type="dxa"/>
              <w:start w:w="110" w:type="dxa"/>
              <w:bottom w:w="90" w:type="dxa"/>
              <w:end w:w="110" w:type="dxa"/>
            </w:tcMar>
            <w:shd w:fill="F5F3F9"/>
          </w:tcPr>
          <w:p>
            <w:r>
              <w:rPr>
                <w:b/>
                <w:color w:val="231D31"/>
              </w:rPr>
              <w:t>PUBLISH-WIN-X64.cmd</w:t>
            </w:r>
          </w:p>
        </w:tc>
        <w:tc>
          <w:tcPr>
            <w:tcW w:type="dxa" w:w="5112"/>
            <w:tcMar>
              <w:top w:w="90" w:type="dxa"/>
              <w:start w:w="110" w:type="dxa"/>
              <w:bottom w:w="90" w:type="dxa"/>
              <w:end w:w="110" w:type="dxa"/>
            </w:tcMar>
          </w:tcPr>
          <w:p>
            <w:r>
              <w:t>Creates a self-contained single-file Windows x64 folder with trimming disabled; opens only the folder, not the app. Archive the clean folder before first launch.</w:t>
            </w:r>
          </w:p>
        </w:tc>
      </w:tr>
    </w:tbl>
    <w:p>
      <w:pPr>
        <w:pStyle w:val="Heading2"/>
      </w:pPr>
      <w:r>
        <w:t>Expected build target</w:t>
      </w:r>
    </w:p>
    <w:p>
      <w:pPr>
        <w:pStyle w:val="BodyText"/>
      </w:pPr>
      <w:r>
        <w:t>src\CosmicTranscriber\bin\Release\net10.0-windows10.0.19041.0\CosmicTranscriber.exe</w:t>
      </w:r>
    </w:p>
    <w:p>
      <w:pPr>
        <w:pStyle w:val="Heading2"/>
      </w:pPr>
      <w:r>
        <w:t>Project controls</w:t>
      </w:r>
    </w:p>
    <w:p>
      <w:pPr>
        <w:pStyle w:val="ListBullet"/>
      </w:pPr>
      <w:r>
        <w:t>Target framework net10.0-windows10.0.19041.0.</w:t>
      </w:r>
    </w:p>
    <w:p>
      <w:pPr>
        <w:pStyle w:val="ListBullet"/>
      </w:pPr>
      <w:r>
        <w:t>WPF enabled and Windows targeting explicit.</w:t>
      </w:r>
    </w:p>
    <w:p>
      <w:pPr>
        <w:pStyle w:val="ListBullet"/>
      </w:pPr>
      <w:r>
        <w:t>Warnings treated as errors, nullable enabled, deterministic build enabled.</w:t>
      </w:r>
    </w:p>
    <w:p>
      <w:pPr>
        <w:pStyle w:val="ListBullet"/>
      </w:pPr>
      <w:r>
        <w:t>Assembly/File/Informational version 1.0.27.</w:t>
      </w:r>
    </w:p>
    <w:p>
      <w:pPr>
        <w:pStyle w:val="ListBullet"/>
      </w:pPr>
      <w:r>
        <w:t>asInvoker application manifest.</w:t>
      </w:r>
    </w:p>
    <w:p>
      <w:pPr>
        <w:pStyle w:val="ListBullet"/>
      </w:pPr>
      <w:r>
        <w:t>NAudio 2.3.0 package reference.</w:t>
      </w:r>
    </w:p>
    <w:p>
      <w:pPr>
        <w:pStyle w:val="ListBullet"/>
      </w:pPr>
      <w:r>
        <w:t>No redundant ProtectedData package reference under .NET 10 Windows target.</w:t>
      </w:r>
    </w:p>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FCECEE"/>
            <w:tcMar>
              <w:top w:w="130" w:type="dxa"/>
              <w:start w:w="170" w:type="dxa"/>
              <w:bottom w:w="130" w:type="dxa"/>
              <w:end w:w="170" w:type="dxa"/>
            </w:tcMar>
          </w:tcPr>
          <w:p>
            <w:pPr>
              <w:spacing w:after="0"/>
            </w:pPr>
            <w:r>
              <w:rPr>
                <w:b/>
                <w:color w:val="A83B4B"/>
              </w:rPr>
              <w:t xml:space="preserve">Review-environment limitation: </w:t>
            </w:r>
            <w:r>
              <w:t>This manual package was audited in a non-Windows environment without the Windows .NET 10/WPF toolchain. The Python verifier is not a C# compiler. BUILD.cmd and native launch remain mandatory Windows gates; version 1.0.27 repairs the deterministic CS0103 source blocker found in 1.0.24.</w:t>
            </w:r>
          </w:p>
        </w:tc>
      </w:tr>
    </w:tbl>
    <w:p>
      <w:r/>
    </w:p>
    <w:p>
      <w:pPr>
        <w:pStyle w:val="TitlePageHeading"/>
      </w:pPr>
      <w:r>
        <w:t>Developer architecture</w:t>
      </w:r>
    </w:p>
    <w:p>
      <w:pPr>
        <w:pStyle w:val="SubtitleText"/>
      </w:pPr>
      <w:r>
        <w:t>The application is deliberately small, explicit, and fail-closed.</w:t>
      </w:r>
    </w:p>
    <w:tbl>
      <w:tblPr>
        <w:tblStyle w:val="TableGrid"/>
        <w:tblW w:type="auto" w:w="0"/>
        <w:jc w:val="center"/>
        <w:tblLook w:firstColumn="1" w:firstRow="1" w:lastColumn="0" w:lastRow="0" w:noHBand="0" w:noVBand="1" w:val="04A0"/>
      </w:tblPr>
      <w:tblGrid>
        <w:gridCol w:w="5112"/>
        <w:gridCol w:w="5112"/>
      </w:tblGrid>
      <w:tr>
        <w:trPr>
          <w:tblHeader w:val="true"/>
          <w:tblHeader w:val="true"/>
          <w:cantSplit/>
        </w:trPr>
        <w:tc>
          <w:tcPr>
            <w:tcW w:type="dxa" w:w="5112"/>
            <w:shd w:fill="17112F"/>
            <w:tcMar>
              <w:top w:w="90" w:type="dxa"/>
              <w:start w:w="110" w:type="dxa"/>
              <w:bottom w:w="90" w:type="dxa"/>
              <w:end w:w="110" w:type="dxa"/>
            </w:tcMar>
          </w:tcPr>
          <w:p>
            <w:r>
              <w:rPr>
                <w:b/>
                <w:color w:val="FFFFFF"/>
              </w:rPr>
              <w:t>Component</w:t>
            </w:r>
          </w:p>
        </w:tc>
        <w:tc>
          <w:tcPr>
            <w:tcW w:type="dxa" w:w="5112"/>
            <w:shd w:fill="17112F"/>
            <w:tcMar>
              <w:top w:w="90" w:type="dxa"/>
              <w:start w:w="110" w:type="dxa"/>
              <w:bottom w:w="90" w:type="dxa"/>
              <w:end w:w="110" w:type="dxa"/>
            </w:tcMar>
          </w:tcPr>
          <w:p>
            <w:r>
              <w:rPr>
                <w:b/>
                <w:color w:val="FFFFFF"/>
              </w:rPr>
              <w:t>Responsibility</w:t>
            </w:r>
          </w:p>
        </w:tc>
      </w:tr>
      <w:tr>
        <w:trPr>
          <w:cantSplit/>
        </w:trPr>
        <w:tc>
          <w:tcPr>
            <w:tcW w:type="dxa" w:w="5112"/>
            <w:tcMar>
              <w:top w:w="90" w:type="dxa"/>
              <w:start w:w="110" w:type="dxa"/>
              <w:bottom w:w="90" w:type="dxa"/>
              <w:end w:w="110" w:type="dxa"/>
            </w:tcMar>
            <w:shd w:fill="F5F3F9"/>
          </w:tcPr>
          <w:p>
            <w:r>
              <w:rPr>
                <w:b/>
                <w:color w:val="231D31"/>
              </w:rPr>
              <w:t>App / MainWindow</w:t>
            </w:r>
          </w:p>
        </w:tc>
        <w:tc>
          <w:tcPr>
            <w:tcW w:type="dxa" w:w="5112"/>
            <w:tcMar>
              <w:top w:w="90" w:type="dxa"/>
              <w:start w:w="110" w:type="dxa"/>
              <w:bottom w:w="90" w:type="dxa"/>
              <w:end w:w="110" w:type="dxa"/>
            </w:tcMar>
          </w:tcPr>
          <w:p>
            <w:r>
              <w:t>Startup guarding, themes, UI state, import, validation, run orchestration, close/unwind.</w:t>
            </w:r>
          </w:p>
        </w:tc>
      </w:tr>
      <w:tr>
        <w:trPr>
          <w:cantSplit/>
        </w:trPr>
        <w:tc>
          <w:tcPr>
            <w:tcW w:type="dxa" w:w="5112"/>
            <w:tcMar>
              <w:top w:w="90" w:type="dxa"/>
              <w:start w:w="110" w:type="dxa"/>
              <w:bottom w:w="90" w:type="dxa"/>
              <w:end w:w="110" w:type="dxa"/>
            </w:tcMar>
            <w:shd w:fill="F5F3F9"/>
          </w:tcPr>
          <w:p>
            <w:r>
              <w:rPr>
                <w:b/>
                <w:color w:val="231D31"/>
              </w:rPr>
              <w:t>OpenAiTranscriptionClient</w:t>
            </w:r>
          </w:p>
        </w:tc>
        <w:tc>
          <w:tcPr>
            <w:tcW w:type="dxa" w:w="5112"/>
            <w:tcMar>
              <w:top w:w="90" w:type="dxa"/>
              <w:start w:w="110" w:type="dxa"/>
              <w:bottom w:w="90" w:type="dxa"/>
              <w:end w:w="110" w:type="dxa"/>
            </w:tcMar>
          </w:tcPr>
          <w:p>
            <w:r>
              <w:t>Bounded HTTP, structured errors, retries, strict UTF-8, transcription response parsing.</w:t>
            </w:r>
          </w:p>
        </w:tc>
      </w:tr>
      <w:tr>
        <w:trPr>
          <w:cantSplit/>
        </w:trPr>
        <w:tc>
          <w:tcPr>
            <w:tcW w:type="dxa" w:w="5112"/>
            <w:tcMar>
              <w:top w:w="90" w:type="dxa"/>
              <w:start w:w="110" w:type="dxa"/>
              <w:bottom w:w="90" w:type="dxa"/>
              <w:end w:w="110" w:type="dxa"/>
            </w:tcMar>
            <w:shd w:fill="F5F3F9"/>
          </w:tcPr>
          <w:p>
            <w:r>
              <w:rPr>
                <w:b/>
                <w:color w:val="231D31"/>
              </w:rPr>
              <w:t>Mp3AudioUtilities / Mp3Chunker</w:t>
            </w:r>
          </w:p>
        </w:tc>
        <w:tc>
          <w:tcPr>
            <w:tcW w:type="dxa" w:w="5112"/>
            <w:tcMar>
              <w:top w:w="90" w:type="dxa"/>
              <w:start w:w="110" w:type="dxa"/>
              <w:bottom w:w="90" w:type="dxa"/>
              <w:end w:w="110" w:type="dxa"/>
            </w:tcMar>
          </w:tcPr>
          <w:p>
            <w:r>
              <w:t>Single-lease inspection, SHA-256, frame parsing, duration, frame-aligned chunks, VBR metadata rewriting.</w:t>
            </w:r>
          </w:p>
        </w:tc>
      </w:tr>
      <w:tr>
        <w:trPr>
          <w:cantSplit/>
        </w:trPr>
        <w:tc>
          <w:tcPr>
            <w:tcW w:type="dxa" w:w="5112"/>
            <w:tcMar>
              <w:top w:w="90" w:type="dxa"/>
              <w:start w:w="110" w:type="dxa"/>
              <w:bottom w:w="90" w:type="dxa"/>
              <w:end w:w="110" w:type="dxa"/>
            </w:tcMar>
            <w:shd w:fill="F5F3F9"/>
          </w:tcPr>
          <w:p>
            <w:r>
              <w:rPr>
                <w:b/>
                <w:color w:val="231D31"/>
              </w:rPr>
              <w:t>TranscriptionCoordinator</w:t>
            </w:r>
          </w:p>
        </w:tc>
        <w:tc>
          <w:tcPr>
            <w:tcW w:type="dxa" w:w="5112"/>
            <w:tcMar>
              <w:top w:w="90" w:type="dxa"/>
              <w:start w:w="110" w:type="dxa"/>
              <w:bottom w:w="90" w:type="dxa"/>
              <w:end w:w="110" w:type="dxa"/>
            </w:tcMar>
          </w:tcPr>
          <w:p>
            <w:r>
              <w:t>Source revalidation, cache identity, locks, checkpoint reuse/write, context, cleanup.</w:t>
            </w:r>
          </w:p>
        </w:tc>
      </w:tr>
      <w:tr>
        <w:trPr>
          <w:cantSplit/>
        </w:trPr>
        <w:tc>
          <w:tcPr>
            <w:tcW w:type="dxa" w:w="5112"/>
            <w:tcMar>
              <w:top w:w="90" w:type="dxa"/>
              <w:start w:w="110" w:type="dxa"/>
              <w:bottom w:w="90" w:type="dxa"/>
              <w:end w:w="110" w:type="dxa"/>
            </w:tcMar>
            <w:shd w:fill="F5F3F9"/>
          </w:tcPr>
          <w:p>
            <w:r>
              <w:rPr>
                <w:b/>
                <w:color w:val="231D31"/>
              </w:rPr>
              <w:t>TranscriptOutputWriter</w:t>
            </w:r>
          </w:p>
        </w:tc>
        <w:tc>
          <w:tcPr>
            <w:tcW w:type="dxa" w:w="5112"/>
            <w:tcMar>
              <w:top w:w="90" w:type="dxa"/>
              <w:start w:w="110" w:type="dxa"/>
              <w:bottom w:w="90" w:type="dxa"/>
              <w:end w:w="110" w:type="dxa"/>
            </w:tcMar>
          </w:tcPr>
          <w:p>
            <w:r>
              <w:t>Bounded TXT/Markdown formatting, durable temporary writes, link recheck, atomic unique names, and rollback.</w:t>
            </w:r>
          </w:p>
        </w:tc>
      </w:tr>
      <w:tr>
        <w:trPr>
          <w:cantSplit/>
        </w:trPr>
        <w:tc>
          <w:tcPr>
            <w:tcW w:type="dxa" w:w="5112"/>
            <w:tcMar>
              <w:top w:w="90" w:type="dxa"/>
              <w:start w:w="110" w:type="dxa"/>
              <w:bottom w:w="90" w:type="dxa"/>
              <w:end w:w="110" w:type="dxa"/>
            </w:tcMar>
            <w:shd w:fill="F5F3F9"/>
          </w:tcPr>
          <w:p>
            <w:r>
              <w:rPr>
                <w:b/>
                <w:color w:val="231D31"/>
              </w:rPr>
              <w:t>AppSettingsService / ApiKeyStore</w:t>
            </w:r>
          </w:p>
        </w:tc>
        <w:tc>
          <w:tcPr>
            <w:tcW w:type="dxa" w:w="5112"/>
            <w:tcMar>
              <w:top w:w="90" w:type="dxa"/>
              <w:start w:w="110" w:type="dxa"/>
              <w:bottom w:w="90" w:type="dxa"/>
              <w:end w:w="110" w:type="dxa"/>
            </w:tcMar>
          </w:tcPr>
          <w:p>
            <w:r>
              <w:t>Writable-directory selection, bounded JSON, debounced UI-dispatcher capture, partial-invalid isolation, durable atomic settings publication, DPAPI key storage, and environment fallback.</w:t>
            </w:r>
          </w:p>
        </w:tc>
      </w:tr>
      <w:tr>
        <w:trPr>
          <w:cantSplit/>
        </w:trPr>
        <w:tc>
          <w:tcPr>
            <w:tcW w:type="dxa" w:w="5112"/>
            <w:tcMar>
              <w:top w:w="90" w:type="dxa"/>
              <w:start w:w="110" w:type="dxa"/>
              <w:bottom w:w="90" w:type="dxa"/>
              <w:end w:w="110" w:type="dxa"/>
            </w:tcMar>
            <w:shd w:fill="F5F3F9"/>
          </w:tcPr>
          <w:p>
            <w:r>
              <w:rPr>
                <w:b/>
                <w:color w:val="231D31"/>
              </w:rPr>
              <w:t>StartupDiagnostics</w:t>
            </w:r>
          </w:p>
        </w:tc>
        <w:tc>
          <w:tcPr>
            <w:tcW w:type="dxa" w:w="5112"/>
            <w:tcMar>
              <w:top w:w="90" w:type="dxa"/>
              <w:start w:w="110" w:type="dxa"/>
              <w:bottom w:w="90" w:type="dxa"/>
              <w:end w:w="110" w:type="dxa"/>
            </w:tcMar>
          </w:tcPr>
          <w:p>
            <w:r>
              <w:t>Collision-resistant persistent logging with fallback directories, secret redaction, reparse-safe creation/retention, and process-lifetime writes through the original CreateNew handle.</w:t>
            </w:r>
          </w:p>
        </w:tc>
      </w:tr>
      <w:tr>
        <w:trPr>
          <w:cantSplit/>
        </w:trPr>
        <w:tc>
          <w:tcPr>
            <w:tcW w:type="dxa" w:w="5112"/>
            <w:tcMar>
              <w:top w:w="90" w:type="dxa"/>
              <w:start w:w="110" w:type="dxa"/>
              <w:bottom w:w="90" w:type="dxa"/>
              <w:end w:w="110" w:type="dxa"/>
            </w:tcMar>
            <w:shd w:fill="F5F3F9"/>
          </w:tcPr>
          <w:p>
            <w:r>
              <w:rPr>
                <w:b/>
                <w:color w:val="231D31"/>
              </w:rPr>
              <w:t>static_verify.py</w:t>
            </w:r>
          </w:p>
        </w:tc>
        <w:tc>
          <w:tcPr>
            <w:tcW w:type="dxa" w:w="5112"/>
            <w:tcMar>
              <w:top w:w="90" w:type="dxa"/>
              <w:start w:w="110" w:type="dxa"/>
              <w:bottom w:w="90" w:type="dxa"/>
              <w:end w:w="110" w:type="dxa"/>
            </w:tcMar>
          </w:tcPr>
          <w:p>
            <w:r>
              <w:t>Current high-risk source/document/package invariants, plus independent validation of deterministic release manifests.</w:t>
            </w:r>
          </w:p>
        </w:tc>
      </w:tr>
      <w:tr>
        <w:trPr>
          <w:cantSplit/>
        </w:trPr>
        <w:tc>
          <w:tcPr>
            <w:tcW w:type="dxa" w:w="5112"/>
            <w:tcMar>
              <w:top w:w="90" w:type="dxa"/>
              <w:start w:w="110" w:type="dxa"/>
              <w:bottom w:w="90" w:type="dxa"/>
              <w:end w:w="110" w:type="dxa"/>
            </w:tcMar>
            <w:shd w:fill="F5F3F9"/>
          </w:tcPr>
          <w:p>
            <w:r>
              <w:t>test_release_verifier.py</w:t>
            </w:r>
          </w:p>
        </w:tc>
        <w:tc>
          <w:tcPr>
            <w:tcW w:type="dxa" w:w="5112"/>
            <w:tcMar>
              <w:top w:w="90" w:type="dxa"/>
              <w:start w:w="110" w:type="dxa"/>
              <w:bottom w:w="90" w:type="dxa"/>
              <w:end w:w="110" w:type="dxa"/>
            </w:tcMar>
          </w:tcPr>
          <w:p>
            <w:r>
              <w:t>52 isolated release-specific deliberate regressions, each executed against a restored source baseline.</w:t>
            </w:r>
          </w:p>
        </w:tc>
      </w:tr>
      <w:tr>
        <w:trPr>
          <w:cantSplit/>
        </w:trPr>
        <w:tc>
          <w:tcPr>
            <w:tcW w:type="dxa" w:w="5112"/>
            <w:tcMar>
              <w:top w:w="90" w:type="dxa"/>
              <w:start w:w="110" w:type="dxa"/>
              <w:bottom w:w="90" w:type="dxa"/>
              <w:end w:w="110" w:type="dxa"/>
            </w:tcMar>
            <w:shd w:fill="F5F3F9"/>
          </w:tcPr>
          <w:p>
            <w:r>
              <w:rPr>
                <w:b/>
                <w:color w:val="231D31"/>
              </w:rPr>
              <w:t>media_smoke.py</w:t>
            </w:r>
          </w:p>
        </w:tc>
        <w:tc>
          <w:tcPr>
            <w:tcW w:type="dxa" w:w="5112"/>
            <w:tcMar>
              <w:top w:w="90" w:type="dxa"/>
              <w:start w:w="110" w:type="dxa"/>
              <w:bottom w:w="90" w:type="dxa"/>
              <w:end w:w="110" w:type="dxa"/>
            </w:tcMar>
          </w:tcPr>
          <w:p>
            <w:r>
              <w:t>Deterministic CBR/VBR decoder-level chunk evidence.</w:t>
            </w:r>
          </w:p>
        </w:tc>
      </w:tr>
    </w:tbl>
    <w:p>
      <w:pPr>
        <w:pStyle w:val="Heading2"/>
      </w:pPr>
      <w:r>
        <w:t>Drag/drop routed-event rule</w:t>
      </w:r>
    </w:p>
    <w:p>
      <w:pPr>
        <w:pStyle w:val="BodyText"/>
      </w:pPr>
      <w:r>
        <w:t>Keep Window preview handlers registered programmatically with AddHandler and handledEventsToo=true. Bubble-only or ordinary handlers can miss events consumed by child controls. Keep AllowDrop on the Window and major surfaces, the asInvoker manifest, and clipboard fallback.</w:t>
      </w:r>
    </w:p>
    <w:p>
      <w:pPr>
        <w:pStyle w:val="Heading2"/>
      </w:pPr>
      <w:r>
        <w:t>Failure-classification rule</w:t>
      </w:r>
    </w:p>
    <w:p>
      <w:pPr>
        <w:pStyle w:val="BodyText"/>
      </w:pPr>
      <w:r>
        <w:t>Unknown exceptions are systemic by default. Continue-on-error is not a general catch-and-ignore switch. It applies only to recognised source-file problems or clearly file-specific API errors.</w:t>
      </w:r>
    </w:p>
    <w:p>
      <w:r/>
    </w:p>
    <w:p>
      <w:pPr>
        <w:pStyle w:val="TitlePageHeading"/>
      </w:pPr>
      <w:r>
        <w:t>Adversarial safety invariants</w:t>
      </w:r>
    </w:p>
    <w:p>
      <w:pPr>
        <w:pStyle w:val="SubtitleText"/>
      </w:pPr>
      <w:r>
        <w:t>These rules exist because the failure modes are expensive or data-destructive.</w:t>
      </w:r>
    </w:p>
    <w:tbl>
      <w:tblPr>
        <w:tblStyle w:val="TableGrid"/>
        <w:tblW w:type="auto" w:w="0"/>
        <w:jc w:val="center"/>
        <w:tblLook w:firstColumn="1" w:firstRow="1" w:lastColumn="0" w:lastRow="0" w:noHBand="0" w:noVBand="1" w:val="04A0"/>
      </w:tblPr>
      <w:tblGrid>
        <w:gridCol w:w="5112"/>
        <w:gridCol w:w="5112"/>
      </w:tblGrid>
      <w:tr>
        <w:trPr>
          <w:tblHeader w:val="true"/>
          <w:tblHeader w:val="true"/>
          <w:cantSplit/>
        </w:trPr>
        <w:tc>
          <w:tcPr>
            <w:tcW w:type="dxa" w:w="5112"/>
            <w:shd w:fill="17112F"/>
            <w:tcMar>
              <w:top w:w="90" w:type="dxa"/>
              <w:start w:w="110" w:type="dxa"/>
              <w:bottom w:w="90" w:type="dxa"/>
              <w:end w:w="110" w:type="dxa"/>
            </w:tcMar>
          </w:tcPr>
          <w:p>
            <w:r>
              <w:rPr>
                <w:b/>
                <w:color w:val="FFFFFF"/>
              </w:rPr>
              <w:t>Boundary</w:t>
            </w:r>
          </w:p>
        </w:tc>
        <w:tc>
          <w:tcPr>
            <w:tcW w:type="dxa" w:w="5112"/>
            <w:shd w:fill="17112F"/>
            <w:tcMar>
              <w:top w:w="90" w:type="dxa"/>
              <w:start w:w="110" w:type="dxa"/>
              <w:bottom w:w="90" w:type="dxa"/>
              <w:end w:w="110" w:type="dxa"/>
            </w:tcMar>
          </w:tcPr>
          <w:p>
            <w:r>
              <w:rPr>
                <w:b/>
                <w:color w:val="FFFFFF"/>
              </w:rPr>
              <w:t>Invariant</w:t>
            </w:r>
          </w:p>
        </w:tc>
      </w:tr>
      <w:tr>
        <w:trPr>
          <w:cantSplit/>
        </w:trPr>
        <w:tc>
          <w:tcPr>
            <w:tcW w:type="dxa" w:w="5112"/>
            <w:tcMar>
              <w:top w:w="90" w:type="dxa"/>
              <w:start w:w="110" w:type="dxa"/>
              <w:bottom w:w="90" w:type="dxa"/>
              <w:end w:w="110" w:type="dxa"/>
            </w:tcMar>
            <w:shd w:fill="F5F3F9"/>
          </w:tcPr>
          <w:p>
            <w:r>
              <w:rPr>
                <w:b/>
                <w:color w:val="231D31"/>
              </w:rPr>
              <w:t>Paid response</w:t>
            </w:r>
          </w:p>
        </w:tc>
        <w:tc>
          <w:tcPr>
            <w:tcW w:type="dxa" w:w="5112"/>
            <w:tcMar>
              <w:top w:w="90" w:type="dxa"/>
              <w:start w:w="110" w:type="dxa"/>
              <w:bottom w:w="90" w:type="dxa"/>
              <w:end w:w="110" w:type="dxa"/>
            </w:tcMar>
          </w:tcPr>
          <w:p>
            <w:r>
              <w:t>Checkpoint before ordinary cancellation.</w:t>
            </w:r>
          </w:p>
        </w:tc>
      </w:tr>
      <w:tr>
        <w:trPr>
          <w:cantSplit/>
        </w:trPr>
        <w:tc>
          <w:tcPr>
            <w:tcW w:type="dxa" w:w="5112"/>
            <w:tcMar>
              <w:top w:w="90" w:type="dxa"/>
              <w:start w:w="110" w:type="dxa"/>
              <w:bottom w:w="90" w:type="dxa"/>
              <w:end w:w="110" w:type="dxa"/>
            </w:tcMar>
            <w:shd w:fill="F5F3F9"/>
          </w:tcPr>
          <w:p>
            <w:r>
              <w:rPr>
                <w:b/>
                <w:color w:val="231D31"/>
              </w:rPr>
              <w:t>Invalid checkpoint</w:t>
            </w:r>
          </w:p>
        </w:tc>
        <w:tc>
          <w:tcPr>
            <w:tcW w:type="dxa" w:w="5112"/>
            <w:tcMar>
              <w:top w:w="90" w:type="dxa"/>
              <w:start w:w="110" w:type="dxa"/>
              <w:bottom w:w="90" w:type="dxa"/>
              <w:end w:w="110" w:type="dxa"/>
            </w:tcMar>
          </w:tcPr>
          <w:p>
            <w:r>
              <w:t>Delete successfully or stop before another request.</w:t>
            </w:r>
          </w:p>
        </w:tc>
      </w:tr>
      <w:tr>
        <w:trPr>
          <w:cantSplit/>
        </w:trPr>
        <w:tc>
          <w:tcPr>
            <w:tcW w:type="dxa" w:w="5112"/>
            <w:tcMar>
              <w:top w:w="90" w:type="dxa"/>
              <w:start w:w="110" w:type="dxa"/>
              <w:bottom w:w="90" w:type="dxa"/>
              <w:end w:w="110" w:type="dxa"/>
            </w:tcMar>
            <w:shd w:fill="F5F3F9"/>
          </w:tcPr>
          <w:p>
            <w:r>
              <w:rPr>
                <w:b/>
                <w:color w:val="231D31"/>
              </w:rPr>
              <w:t>Existing unreadable checkpoint</w:t>
            </w:r>
          </w:p>
        </w:tc>
        <w:tc>
          <w:tcPr>
            <w:tcW w:type="dxa" w:w="5112"/>
            <w:tcMar>
              <w:top w:w="90" w:type="dxa"/>
              <w:start w:w="110" w:type="dxa"/>
              <w:bottom w:w="90" w:type="dxa"/>
              <w:end w:w="110" w:type="dxa"/>
            </w:tcMar>
          </w:tcPr>
          <w:p>
            <w:r>
              <w:t>Never treat as missing.</w:t>
            </w:r>
          </w:p>
        </w:tc>
      </w:tr>
      <w:tr>
        <w:trPr>
          <w:cantSplit/>
        </w:trPr>
        <w:tc>
          <w:tcPr>
            <w:tcW w:type="dxa" w:w="5112"/>
            <w:tcMar>
              <w:top w:w="90" w:type="dxa"/>
              <w:start w:w="110" w:type="dxa"/>
              <w:bottom w:w="90" w:type="dxa"/>
              <w:end w:w="110" w:type="dxa"/>
            </w:tcMar>
            <w:shd w:fill="F5F3F9"/>
          </w:tcPr>
          <w:p>
            <w:r>
              <w:rPr>
                <w:b/>
                <w:color w:val="231D31"/>
              </w:rPr>
              <w:t>Checkpoint write</w:t>
            </w:r>
          </w:p>
        </w:tc>
        <w:tc>
          <w:tcPr>
            <w:tcW w:type="dxa" w:w="5112"/>
            <w:tcMar>
              <w:top w:w="90" w:type="dxa"/>
              <w:start w:w="110" w:type="dxa"/>
              <w:bottom w:w="90" w:type="dxa"/>
              <w:end w:w="110" w:type="dxa"/>
            </w:tcMar>
          </w:tcPr>
          <w:p>
            <w:r>
              <w:t>CreateNew temp + write-through + physical flush + temporary-link recheck + atomic replacement.</w:t>
            </w:r>
          </w:p>
        </w:tc>
      </w:tr>
      <w:tr>
        <w:trPr>
          <w:cantSplit/>
        </w:trPr>
        <w:tc>
          <w:tcPr>
            <w:tcW w:type="dxa" w:w="5112"/>
            <w:tcMar>
              <w:top w:w="90" w:type="dxa"/>
              <w:start w:w="110" w:type="dxa"/>
              <w:bottom w:w="90" w:type="dxa"/>
              <w:end w:w="110" w:type="dxa"/>
            </w:tcMar>
            <w:shd w:fill="F5F3F9"/>
          </w:tcPr>
          <w:p>
            <w:r>
              <w:rPr>
                <w:b/>
                <w:color w:val="231D31"/>
              </w:rPr>
              <w:t>Lock retry</w:t>
            </w:r>
          </w:p>
        </w:tc>
        <w:tc>
          <w:tcPr>
            <w:tcW w:type="dxa" w:w="5112"/>
            <w:tcMar>
              <w:top w:w="90" w:type="dxa"/>
              <w:start w:w="110" w:type="dxa"/>
              <w:bottom w:w="90" w:type="dxa"/>
              <w:end w:w="110" w:type="dxa"/>
            </w:tcMar>
          </w:tcPr>
          <w:p>
            <w:r>
              <w:t>Retry only actual Windows sharing/lock violations; surface other storage failures immediately.</w:t>
            </w:r>
          </w:p>
        </w:tc>
      </w:tr>
      <w:tr>
        <w:trPr>
          <w:cantSplit/>
        </w:trPr>
        <w:tc>
          <w:tcPr>
            <w:tcW w:type="dxa" w:w="5112"/>
            <w:tcMar>
              <w:top w:w="90" w:type="dxa"/>
              <w:start w:w="110" w:type="dxa"/>
              <w:bottom w:w="90" w:type="dxa"/>
              <w:end w:w="110" w:type="dxa"/>
            </w:tcMar>
            <w:shd w:fill="F5F3F9"/>
          </w:tcPr>
          <w:p>
            <w:r>
              <w:rPr>
                <w:b/>
                <w:color w:val="231D31"/>
              </w:rPr>
              <w:t>Source</w:t>
            </w:r>
          </w:p>
        </w:tc>
        <w:tc>
          <w:tcPr>
            <w:tcW w:type="dxa" w:w="5112"/>
            <w:tcMar>
              <w:top w:w="90" w:type="dxa"/>
              <w:start w:w="110" w:type="dxa"/>
              <w:bottom w:w="90" w:type="dxa"/>
              <w:end w:w="110" w:type="dxa"/>
            </w:tcMar>
          </w:tcPr>
          <w:p>
            <w:r>
              <w:t>Rehash before billing.</w:t>
            </w:r>
          </w:p>
        </w:tc>
      </w:tr>
      <w:tr>
        <w:trPr>
          <w:cantSplit/>
        </w:trPr>
        <w:tc>
          <w:tcPr>
            <w:tcW w:type="dxa" w:w="5112"/>
            <w:tcMar>
              <w:top w:w="90" w:type="dxa"/>
              <w:start w:w="110" w:type="dxa"/>
              <w:bottom w:w="90" w:type="dxa"/>
              <w:end w:w="110" w:type="dxa"/>
            </w:tcMar>
            <w:shd w:fill="F5F3F9"/>
          </w:tcPr>
          <w:p>
            <w:r>
              <w:rPr>
                <w:b/>
                <w:color w:val="231D31"/>
              </w:rPr>
              <w:t>Output</w:t>
            </w:r>
          </w:p>
        </w:tc>
        <w:tc>
          <w:tcPr>
            <w:tcW w:type="dxa" w:w="5112"/>
            <w:tcMar>
              <w:top w:w="90" w:type="dxa"/>
              <w:start w:w="110" w:type="dxa"/>
              <w:bottom w:w="90" w:type="dxa"/>
              <w:end w:w="110" w:type="dxa"/>
            </w:tcMar>
          </w:tcPr>
          <w:p>
            <w:r>
              <w:t>Never overwrite; durable temporary write, link recheck, then atomically claim a unique name.</w:t>
            </w:r>
          </w:p>
        </w:tc>
      </w:tr>
      <w:tr>
        <w:trPr>
          <w:cantSplit/>
        </w:trPr>
        <w:tc>
          <w:tcPr>
            <w:tcW w:type="dxa" w:w="5112"/>
            <w:tcMar>
              <w:top w:w="90" w:type="dxa"/>
              <w:start w:w="110" w:type="dxa"/>
              <w:bottom w:w="90" w:type="dxa"/>
              <w:end w:w="110" w:type="dxa"/>
            </w:tcMar>
            <w:shd w:fill="F5F3F9"/>
          </w:tcPr>
          <w:p>
            <w:r>
              <w:rPr>
                <w:b/>
                <w:color w:val="231D31"/>
              </w:rPr>
              <w:t>Multi-format export</w:t>
            </w:r>
          </w:p>
        </w:tc>
        <w:tc>
          <w:tcPr>
            <w:tcW w:type="dxa" w:w="5112"/>
            <w:tcMar>
              <w:top w:w="90" w:type="dxa"/>
              <w:start w:w="110" w:type="dxa"/>
              <w:bottom w:w="90" w:type="dxa"/>
              <w:end w:w="110" w:type="dxa"/>
            </w:tcMar>
          </w:tcPr>
          <w:p>
            <w:r>
              <w:t>Rollback partial siblings on failure.</w:t>
            </w:r>
          </w:p>
        </w:tc>
      </w:tr>
      <w:tr>
        <w:trPr>
          <w:cantSplit/>
        </w:trPr>
        <w:tc>
          <w:tcPr>
            <w:tcW w:type="dxa" w:w="5112"/>
            <w:tcMar>
              <w:top w:w="90" w:type="dxa"/>
              <w:start w:w="110" w:type="dxa"/>
              <w:bottom w:w="90" w:type="dxa"/>
              <w:end w:w="110" w:type="dxa"/>
            </w:tcMar>
            <w:shd w:fill="F5F3F9"/>
          </w:tcPr>
          <w:p>
            <w:r>
              <w:rPr>
                <w:b/>
                <w:color w:val="231D31"/>
              </w:rPr>
              <w:t>Unknown/systemic exception</w:t>
            </w:r>
          </w:p>
        </w:tc>
        <w:tc>
          <w:tcPr>
            <w:tcW w:type="dxa" w:w="5112"/>
            <w:tcMar>
              <w:top w:w="90" w:type="dxa"/>
              <w:start w:w="110" w:type="dxa"/>
              <w:bottom w:w="90" w:type="dxa"/>
              <w:end w:w="110" w:type="dxa"/>
            </w:tcMar>
          </w:tcPr>
          <w:p>
            <w:r>
              <w:t>Stop queue.</w:t>
            </w:r>
          </w:p>
        </w:tc>
      </w:tr>
      <w:tr>
        <w:trPr>
          <w:cantSplit/>
        </w:trPr>
        <w:tc>
          <w:tcPr>
            <w:tcW w:type="dxa" w:w="5112"/>
            <w:tcMar>
              <w:top w:w="90" w:type="dxa"/>
              <w:start w:w="110" w:type="dxa"/>
              <w:bottom w:w="90" w:type="dxa"/>
              <w:end w:w="110" w:type="dxa"/>
            </w:tcMar>
            <w:shd w:fill="F5F3F9"/>
          </w:tcPr>
          <w:p>
            <w:r>
              <w:rPr>
                <w:b/>
                <w:color w:val="231D31"/>
              </w:rPr>
              <w:t>Generic HTTP 400/422</w:t>
            </w:r>
          </w:p>
        </w:tc>
        <w:tc>
          <w:tcPr>
            <w:tcW w:type="dxa" w:w="5112"/>
            <w:tcMar>
              <w:top w:w="90" w:type="dxa"/>
              <w:start w:w="110" w:type="dxa"/>
              <w:bottom w:w="90" w:type="dxa"/>
              <w:end w:w="110" w:type="dxa"/>
            </w:tcMar>
          </w:tcPr>
          <w:p>
            <w:r>
              <w:t>Stop queue unless structured audio/file evidence exists.</w:t>
            </w:r>
          </w:p>
        </w:tc>
      </w:tr>
      <w:tr>
        <w:trPr>
          <w:cantSplit/>
        </w:trPr>
        <w:tc>
          <w:tcPr>
            <w:tcW w:type="dxa" w:w="5112"/>
            <w:tcMar>
              <w:top w:w="90" w:type="dxa"/>
              <w:start w:w="110" w:type="dxa"/>
              <w:bottom w:w="90" w:type="dxa"/>
              <w:end w:w="110" w:type="dxa"/>
            </w:tcMar>
            <w:shd w:fill="F5F3F9"/>
          </w:tcPr>
          <w:p>
            <w:r>
              <w:rPr>
                <w:b/>
                <w:color w:val="231D31"/>
              </w:rPr>
              <w:t>Drag/drop</w:t>
            </w:r>
          </w:p>
        </w:tc>
        <w:tc>
          <w:tcPr>
            <w:tcW w:type="dxa" w:w="5112"/>
            <w:tcMar>
              <w:top w:w="90" w:type="dxa"/>
              <w:start w:w="110" w:type="dxa"/>
              <w:bottom w:w="90" w:type="dxa"/>
              <w:end w:w="110" w:type="dxa"/>
            </w:tcMar>
          </w:tcPr>
          <w:p>
            <w:r>
              <w:t>Full-window preview handlers, idle-only mutation, asInvoker, Paste fallback.</w:t>
            </w:r>
          </w:p>
        </w:tc>
      </w:tr>
      <w:tr>
        <w:trPr>
          <w:cantSplit/>
        </w:trPr>
        <w:tc>
          <w:tcPr>
            <w:tcW w:type="dxa" w:w="5112"/>
            <w:tcMar>
              <w:top w:w="90" w:type="dxa"/>
              <w:start w:w="110" w:type="dxa"/>
              <w:bottom w:w="90" w:type="dxa"/>
              <w:end w:w="110" w:type="dxa"/>
            </w:tcMar>
            <w:shd w:fill="F5F3F9"/>
          </w:tcPr>
          <w:p>
            <w:r>
              <w:rPr>
                <w:b/>
                <w:color w:val="231D31"/>
              </w:rPr>
              <w:t>Key</w:t>
            </w:r>
          </w:p>
        </w:tc>
        <w:tc>
          <w:tcPr>
            <w:tcW w:type="dxa" w:w="5112"/>
            <w:tcMar>
              <w:top w:w="90" w:type="dxa"/>
              <w:start w:w="110" w:type="dxa"/>
              <w:bottom w:w="90" w:type="dxa"/>
              <w:end w:w="110" w:type="dxa"/>
            </w:tcMar>
          </w:tcPr>
          <w:p>
            <w:r>
              <w:t>Masked, no normal logging, DPAPI CurrentUser optional.</w:t>
            </w:r>
          </w:p>
        </w:tc>
      </w:tr>
      <w:tr>
        <w:trPr>
          <w:cantSplit/>
        </w:trPr>
        <w:tc>
          <w:tcPr>
            <w:tcW w:type="dxa" w:w="5112"/>
            <w:tcMar>
              <w:top w:w="90" w:type="dxa"/>
              <w:start w:w="110" w:type="dxa"/>
              <w:bottom w:w="90" w:type="dxa"/>
              <w:end w:w="110" w:type="dxa"/>
            </w:tcMar>
            <w:shd w:fill="F5F3F9"/>
          </w:tcPr>
          <w:p>
            <w:r>
              <w:rPr>
                <w:b/>
                <w:color w:val="231D31"/>
              </w:rPr>
              <w:t>Close</w:t>
            </w:r>
          </w:p>
        </w:tc>
        <w:tc>
          <w:tcPr>
            <w:tcW w:type="dxa" w:w="5112"/>
            <w:tcMar>
              <w:top w:w="90" w:type="dxa"/>
              <w:start w:w="110" w:type="dxa"/>
              <w:bottom w:w="90" w:type="dxa"/>
              <w:end w:w="110" w:type="dxa"/>
            </w:tcMar>
          </w:tcPr>
          <w:p>
            <w:r>
              <w:t>Defer until async safety work unwinds.</w:t>
            </w:r>
          </w:p>
        </w:tc>
      </w:tr>
      <w:tr>
        <w:trPr>
          <w:cantSplit/>
        </w:trPr>
        <w:tc>
          <w:tcPr>
            <w:tcW w:type="dxa" w:w="5112"/>
            <w:tcMar>
              <w:top w:w="90" w:type="dxa"/>
              <w:start w:w="110" w:type="dxa"/>
              <w:bottom w:w="90" w:type="dxa"/>
              <w:end w:w="110" w:type="dxa"/>
            </w:tcMar>
            <w:shd w:fill="F5F3F9"/>
          </w:tcPr>
          <w:p>
            <w:r>
              <w:rPr>
                <w:b/>
                <w:color w:val="231D31"/>
              </w:rPr>
              <w:t>Logs</w:t>
            </w:r>
          </w:p>
        </w:tc>
        <w:tc>
          <w:tcPr>
            <w:tcW w:type="dxa" w:w="5112"/>
            <w:tcMar>
              <w:top w:w="90" w:type="dxa"/>
              <w:start w:w="110" w:type="dxa"/>
              <w:bottom w:w="90" w:type="dxa"/>
              <w:end w:w="110" w:type="dxa"/>
            </w:tcMar>
          </w:tcPr>
          <w:p>
            <w:r>
              <w:t>Unique filename, no overwrite, no duplicate background persistence.</w:t>
            </w:r>
          </w:p>
        </w:tc>
      </w:tr>
      <w:tr>
        <w:trPr>
          <w:cantSplit/>
        </w:trPr>
        <w:tc>
          <w:tcPr>
            <w:tcW w:type="dxa" w:w="5112"/>
          </w:tcPr>
          <w:p>
            <w:r>
              <w:t>Path and cache boundary</w:t>
            </w:r>
          </w:p>
        </w:tc>
        <w:tc>
          <w:tcPr>
            <w:tcW w:type="dxa" w:w="5112"/>
          </w:tcPr>
          <w:p>
            <w:r>
              <w:t>Resolve existing link/junction aliases; retain the resolved prefix when a trailing component is missing; reject every unknown cache/work/transcript/checkpoint/chunk item before use or deletion.</w:t>
            </w:r>
          </w:p>
        </w:tc>
      </w:tr>
      <w:tr>
        <w:trPr>
          <w:cantSplit/>
        </w:trPr>
        <w:tc>
          <w:tcPr>
            <w:tcW w:type="dxa" w:w="5112"/>
          </w:tcPr>
          <w:p>
            <w:r>
              <w:t>Filesystem publication</w:t>
            </w:r>
          </w:p>
        </w:tc>
        <w:tc>
          <w:tcPr>
            <w:tcW w:type="dxa" w:w="5112"/>
          </w:tcPr>
          <w:p>
            <w:r>
              <w:t>Use iterative no-follow cleanup; settings, saved keys, checkpoints, and transcripts require durable temporary writes, link checks, and atomic publication.</w:t>
            </w:r>
          </w:p>
        </w:tc>
      </w:tr>
    </w:tbl>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EAF6F1"/>
            <w:tcMar>
              <w:top w:w="130" w:type="dxa"/>
              <w:start w:w="170" w:type="dxa"/>
              <w:bottom w:w="130" w:type="dxa"/>
              <w:end w:w="170" w:type="dxa"/>
            </w:tcMar>
          </w:tcPr>
          <w:p>
            <w:r>
              <w:t>Mutation protection: The current release gate contains 52 deliberate mutations covering the Start_Click CS0103 regression, clean publish/runtime-artifact hygiene, settings autosave/debounce/status, partial-invalid isolation, API-key separation, model/diarization contracts, speaker parsing/checkpoint/export, explicit opaque ComboBox template integrity, selected/item foreground binding, popup opacity/animation, exact file-model list, stale-model normalization, Cosmic Paper contrast, closed-wheel suppression, page-scroll forwarding, request-ID logging, authenticated system-proxy support, model-specific language validation, and release/document identity. Broader safety invariants remain directly inspected by static_verify.py; BUILD.cmd remains the compiler gate.</w:t>
            </w:r>
          </w:p>
        </w:tc>
      </w:tr>
    </w:tbl>
    <w:p>
      <w:pPr>
        <w:pStyle w:val="Heading2"/>
      </w:pPr>
      <w:r>
        <w:t>When changing chunk semantics</w:t>
      </w:r>
    </w:p>
    <w:p>
      <w:pPr>
        <w:pStyle w:val="BodyText"/>
      </w:pPr>
      <w:r>
        <w:t>Increment the chunker/fingerprint revision whenever frame layout, metadata carrier handling, overlap, timestamps, or byte semantics change. Otherwise old checkpoints could be reused against a different chunk interpretation.</w:t>
      </w:r>
    </w:p>
    <w:p>
      <w:pPr>
        <w:pStyle w:val="TitlePageHeading"/>
      </w:pPr>
      <w:r>
        <w:t>Verification evidence and release gate</w:t>
      </w:r>
    </w:p>
    <w:p>
      <w:pPr>
        <w:pStyle w:val="SubtitleText"/>
      </w:pPr>
      <w:r>
        <w:t>Automated evidence is strong only when its limits are stated.</w:t>
      </w:r>
    </w:p>
    <w:p>
      <w:pPr>
        <w:pStyle w:val="Heading2"/>
      </w:pPr>
      <w:r>
        <w:t>Static source gate</w:t>
      </w:r>
    </w:p>
    <w:tbl>
      <w:tblPr>
        <w:tblStyle w:val="TableGrid"/>
        <w:tblW w:type="auto" w:w="0"/>
        <w:jc w:val="center"/>
        <w:tblLook w:firstColumn="1" w:firstRow="1" w:lastColumn="0" w:lastRow="0" w:noHBand="0" w:noVBand="1" w:val="04A0"/>
      </w:tblPr>
      <w:tblGrid>
        <w:gridCol w:w="5112"/>
        <w:gridCol w:w="5112"/>
      </w:tblGrid>
      <w:tr>
        <w:trPr>
          <w:tblHeader w:val="true"/>
          <w:cantSplit/>
        </w:trPr>
        <w:tc>
          <w:tcPr>
            <w:tcW w:type="dxa" w:w="5112"/>
            <w:tcMar>
              <w:top w:w="90" w:type="dxa"/>
              <w:start w:w="110" w:type="dxa"/>
              <w:bottom w:w="90" w:type="dxa"/>
              <w:end w:w="110" w:type="dxa"/>
            </w:tcMar>
            <w:shd w:fill="F5F3F9"/>
          </w:tcPr>
          <w:p>
            <w:r>
              <w:rPr>
                <w:b/>
                <w:color w:val="231D31"/>
              </w:rPr>
              <w:t>C# files</w:t>
            </w:r>
          </w:p>
        </w:tc>
        <w:tc>
          <w:tcPr>
            <w:tcW w:type="dxa" w:w="5112"/>
            <w:tcMar>
              <w:top w:w="90" w:type="dxa"/>
              <w:start w:w="110" w:type="dxa"/>
              <w:bottom w:w="90" w:type="dxa"/>
              <w:end w:w="110" w:type="dxa"/>
            </w:tcMar>
          </w:tcPr>
          <w:p>
            <w:r>
              <w:t>28</w:t>
            </w:r>
          </w:p>
        </w:tc>
      </w:tr>
      <w:tr>
        <w:trPr>
          <w:cantSplit/>
        </w:trPr>
        <w:tc>
          <w:tcPr>
            <w:tcW w:type="dxa" w:w="5112"/>
            <w:tcMar>
              <w:top w:w="90" w:type="dxa"/>
              <w:start w:w="110" w:type="dxa"/>
              <w:bottom w:w="90" w:type="dxa"/>
              <w:end w:w="110" w:type="dxa"/>
            </w:tcMar>
            <w:shd w:fill="F5F3F9"/>
          </w:tcPr>
          <w:p>
            <w:r>
              <w:rPr>
                <w:b/>
                <w:color w:val="231D31"/>
              </w:rPr>
              <w:t>XAML files</w:t>
            </w:r>
          </w:p>
        </w:tc>
        <w:tc>
          <w:tcPr>
            <w:tcW w:type="dxa" w:w="5112"/>
            <w:tcMar>
              <w:top w:w="90" w:type="dxa"/>
              <w:start w:w="110" w:type="dxa"/>
              <w:bottom w:w="90" w:type="dxa"/>
              <w:end w:w="110" w:type="dxa"/>
            </w:tcMar>
          </w:tcPr>
          <w:p>
            <w:r>
              <w:t>7</w:t>
            </w:r>
          </w:p>
        </w:tc>
      </w:tr>
      <w:tr>
        <w:trPr>
          <w:cantSplit/>
        </w:trPr>
        <w:tc>
          <w:tcPr>
            <w:tcW w:type="dxa" w:w="5112"/>
            <w:tcMar>
              <w:top w:w="90" w:type="dxa"/>
              <w:start w:w="110" w:type="dxa"/>
              <w:bottom w:w="90" w:type="dxa"/>
              <w:end w:w="110" w:type="dxa"/>
            </w:tcMar>
            <w:shd w:fill="F5F3F9"/>
          </w:tcPr>
          <w:p>
            <w:r>
              <w:rPr>
                <w:b/>
                <w:color w:val="231D31"/>
              </w:rPr>
              <w:t>Resolved XAML handlers</w:t>
            </w:r>
          </w:p>
        </w:tc>
        <w:tc>
          <w:tcPr>
            <w:tcW w:type="dxa" w:w="5112"/>
            <w:tcMar>
              <w:top w:w="90" w:type="dxa"/>
              <w:start w:w="110" w:type="dxa"/>
              <w:bottom w:w="90" w:type="dxa"/>
              <w:end w:w="110" w:type="dxa"/>
            </w:tcMar>
          </w:tcPr>
          <w:p>
            <w:r>
              <w:t>39 unique / 44 bindings</w:t>
            </w:r>
          </w:p>
        </w:tc>
      </w:tr>
      <w:tr>
        <w:trPr>
          <w:cantSplit/>
        </w:trPr>
        <w:tc>
          <w:tcPr>
            <w:tcW w:type="dxa" w:w="5112"/>
            <w:tcMar>
              <w:top w:w="90" w:type="dxa"/>
              <w:start w:w="110" w:type="dxa"/>
              <w:bottom w:w="90" w:type="dxa"/>
              <w:end w:w="110" w:type="dxa"/>
            </w:tcMar>
            <w:shd w:fill="F5F3F9"/>
          </w:tcPr>
          <w:p>
            <w:r>
              <w:rPr>
                <w:b/>
                <w:color w:val="231D31"/>
              </w:rPr>
              <w:t>Resolved resource references</w:t>
            </w:r>
          </w:p>
        </w:tc>
        <w:tc>
          <w:tcPr>
            <w:tcW w:type="dxa" w:w="5112"/>
            <w:tcMar>
              <w:top w:w="90" w:type="dxa"/>
              <w:start w:w="110" w:type="dxa"/>
              <w:bottom w:w="90" w:type="dxa"/>
              <w:end w:w="110" w:type="dxa"/>
            </w:tcMar>
          </w:tcPr>
          <w:p>
            <w:r>
              <w:t>52</w:t>
            </w:r>
          </w:p>
        </w:tc>
      </w:tr>
      <w:tr>
        <w:trPr>
          <w:cantSplit/>
        </w:trPr>
        <w:tc>
          <w:tcPr>
            <w:tcW w:type="dxa" w:w="5112"/>
            <w:tcMar>
              <w:top w:w="90" w:type="dxa"/>
              <w:start w:w="110" w:type="dxa"/>
              <w:bottom w:w="90" w:type="dxa"/>
              <w:end w:w="110" w:type="dxa"/>
            </w:tcMar>
            <w:shd w:fill="F5F3F9"/>
          </w:tcPr>
          <w:p>
            <w:r>
              <w:rPr>
                <w:b/>
                <w:color w:val="231D31"/>
              </w:rPr>
              <w:t>Mutation cases</w:t>
            </w:r>
          </w:p>
        </w:tc>
        <w:tc>
          <w:tcPr>
            <w:tcW w:type="dxa" w:w="5112"/>
            <w:tcMar>
              <w:top w:w="90" w:type="dxa"/>
              <w:start w:w="110" w:type="dxa"/>
              <w:bottom w:w="90" w:type="dxa"/>
              <w:end w:w="110" w:type="dxa"/>
            </w:tcMar>
          </w:tcPr>
          <w:p>
            <w:r>
              <w:t>52 release-specific</w:t>
            </w:r>
          </w:p>
        </w:tc>
      </w:tr>
    </w:tbl>
    <w:p>
      <w:pPr>
        <w:pStyle w:val="Heading2"/>
      </w:pPr>
      <w:r>
        <w:t>Deterministic media evidence</w:t>
      </w:r>
    </w:p>
    <w:p>
      <w:pPr>
        <w:pStyle w:val="ListBullet"/>
      </w:pPr>
      <w:r>
        <w:t>Generated 680-second CBR and VBR MP3 sources.</w:t>
      </w:r>
    </w:p>
    <w:p>
      <w:pPr>
        <w:pStyle w:val="ListBullet"/>
      </w:pPr>
      <w:r>
        <w:t>Three chunks per source; six chunks total.</w:t>
      </w:r>
    </w:p>
    <w:p>
      <w:pPr>
        <w:pStyle w:val="ListBullet"/>
      </w:pPr>
      <w:r>
        <w:t>All chunks decoded successfully with FFmpeg.</w:t>
      </w:r>
    </w:p>
    <w:p>
      <w:pPr>
        <w:pStyle w:val="ListBullet"/>
      </w:pPr>
      <w:r>
        <w:t>First chunk PCM matched the original decoded source prefix for both profiles.</w:t>
      </w:r>
    </w:p>
    <w:p>
      <w:pPr>
        <w:pStyle w:val="ListBullet"/>
      </w:pPr>
      <w:r>
        <w:t>Xing/Info/VBRI carrier retained and rewritten for chunk 1.</w:t>
      </w:r>
    </w:p>
    <w:p>
      <w:pPr>
        <w:pStyle w:val="ListBullet"/>
      </w:pPr>
      <w:r>
        <w:t>Metadata-carrier time separated from logical speech timestamps.</w:t>
      </w:r>
    </w:p>
    <w:p>
      <w:pPr>
        <w:pStyle w:val="ListBullet"/>
      </w:pPr>
      <w:r>
        <w:t>Execution date generated dynamically.</w:t>
      </w:r>
    </w:p>
    <w:p>
      <w:pPr>
        <w:pStyle w:val="Heading2"/>
      </w:pPr>
      <w:r>
        <w:t>Documentation and package evidence</w:t>
      </w:r>
    </w:p>
    <w:p>
      <w:pPr>
        <w:pStyle w:val="ListBullet"/>
      </w:pPr>
      <w:r>
        <w:t>DOCX rendered to page PNGs and every page inspected; core metadata and embedded-image accessibility title match v1.0.27.</w:t>
      </w:r>
    </w:p>
    <w:p>
      <w:pPr>
        <w:pStyle w:val="ListBullet"/>
      </w:pPr>
      <w:r>
        <w:t>DOCX accessibility audit run; high/medium issues must be zero.</w:t>
      </w:r>
    </w:p>
    <w:p>
      <w:pPr>
        <w:pStyle w:val="ListBullet"/>
      </w:pPr>
      <w:r>
        <w:t>UI preview rendered and visually inspected.</w:t>
      </w:r>
    </w:p>
    <w:p>
      <w:pPr>
        <w:pStyle w:val="ListBullet"/>
      </w:pPr>
      <w:r>
        <w:t>Deterministic manifests generated with scripts/generate_release_manifests.py and independently verified against exact files, byte sizes, and SHA-256 values.</w:t>
      </w:r>
    </w:p>
    <w:p>
      <w:pPr>
        <w:pStyle w:val="ListBullet"/>
      </w:pPr>
      <w:r>
        <w:t>ZIP extracted to a clean directory; verifier and checksum checks rerun; archive integrity tested.</w:t>
      </w:r>
    </w:p>
    <w:tbl>
      <w:tblPr>
        <w:tblW w:type="auto" w:w="0"/>
        <w:jc w:val="center"/>
        <w:tblLayout w:type="autofit"/>
        <w:tblLook w:firstColumn="1" w:firstRow="1" w:lastColumn="0" w:lastRow="0" w:noHBand="0" w:noVBand="1" w:val="04A0"/>
      </w:tblPr>
      <w:tblGrid>
        <w:gridCol w:w="10224"/>
      </w:tblGrid>
      <w:tr>
        <w:trPr>
          <w:tblHeader w:val="true"/>
          <w:cantSplit/>
        </w:trPr>
        <w:tc>
          <w:tcPr>
            <w:tcW w:type="dxa" w:w="10224"/>
            <w:shd w:fill="FCECEE"/>
            <w:tcMar>
              <w:top w:w="130" w:type="dxa"/>
              <w:start w:w="170" w:type="dxa"/>
              <w:bottom w:w="130" w:type="dxa"/>
              <w:end w:w="170" w:type="dxa"/>
            </w:tcMar>
          </w:tcPr>
          <w:p>
            <w:pPr>
              <w:spacing w:after="0"/>
            </w:pPr>
            <w:r>
              <w:rPr>
                <w:b/>
                <w:color w:val="A83B4B"/>
              </w:rPr>
              <w:t xml:space="preserve">Not proven here: </w:t>
            </w:r>
            <w:r>
              <w:t>A Windows build, native WPF launch/render, physical Explorer/OLE drag, high-DPI/multi-monitor/screen-reader behaviour, and a live paid API call are not emulated by these Linux-side checks.</w:t>
            </w:r>
          </w:p>
        </w:tc>
      </w:tr>
    </w:tbl>
    <w:p>
      <w:r/>
    </w:p>
    <w:p>
      <w:pPr>
        <w:pStyle w:val="TitlePageHeading"/>
      </w:pPr>
      <w:r>
        <w:t>Windows acceptance checklist and About/support</w:t>
      </w:r>
    </w:p>
    <w:p>
      <w:pPr>
        <w:pStyle w:val="SubtitleText"/>
      </w:pPr>
      <w:r>
        <w:t>Complete these steps before calling the build production-ready.</w:t>
      </w:r>
    </w:p>
    <w:p>
      <w:pPr>
        <w:pStyle w:val="BodyText"/>
        <w:ind w:left="72"/>
      </w:pPr>
      <w:r>
        <w:rPr>
          <w:rFonts w:ascii="DejaVu Sans" w:hAnsi="DejaVu Sans"/>
        </w:rPr>
        <w:t xml:space="preserve">☐  </w:t>
      </w:r>
      <w:r>
        <w:t>BUILD.cmd passes with the current .NET 10 SDK and produces the expected EXE.</w:t>
      </w:r>
    </w:p>
    <w:p>
      <w:pPr>
        <w:pStyle w:val="BodyText"/>
        <w:ind w:left="72"/>
      </w:pPr>
      <w:r>
        <w:t>☐  Normal non-admin launch succeeds; header shows v1.0.27; resize/maximize does not shift or clip the left edge.</w:t>
      </w:r>
    </w:p>
    <w:p>
      <w:pPr>
        <w:pStyle w:val="BodyText"/>
        <w:ind w:left="72"/>
      </w:pPr>
      <w:r>
        <w:rPr>
          <w:rFonts w:ascii="DejaVu Sans" w:hAnsi="DejaVu Sans"/>
        </w:rPr>
        <w:t xml:space="preserve">☐  </w:t>
      </w:r>
      <w:r>
        <w:t>Start button is readable enabled/disabled in both themes.</w:t>
      </w:r>
    </w:p>
    <w:p>
      <w:pPr>
        <w:pStyle w:val="BodyText"/>
      </w:pPr>
      <w:r>
        <w:t>☐  Model and retry drop-downs visibly open; scrolling over a closed control does not change its value and still scrolls the surrounding settings page.</w:t>
      </w:r>
    </w:p>
    <w:p>
      <w:pPr>
        <w:pStyle w:val="BodyText"/>
      </w:pPr>
      <w:r>
        <w:t>☐  A failed or timed-out connection test records elapsed time, a network category, a client request ID, nested diagnostics, and any server request ID/status received before failure.</w:t>
      </w:r>
    </w:p>
    <w:p>
      <w:pPr>
        <w:pStyle w:val="BodyText"/>
        <w:ind w:left="72"/>
      </w:pPr>
      <w:r>
        <w:rPr>
          <w:rFonts w:ascii="DejaVu Sans" w:hAnsi="DejaVu Sans"/>
        </w:rPr>
        <w:t xml:space="preserve">☐  </w:t>
      </w:r>
      <w:r>
        <w:t>Footer progress remains visible while settings scroll.</w:t>
      </w:r>
    </w:p>
    <w:p>
      <w:pPr>
        <w:pStyle w:val="BodyText"/>
        <w:ind w:left="72"/>
      </w:pPr>
      <w:r>
        <w:rPr>
          <w:rFonts w:ascii="DejaVu Sans" w:hAnsi="DejaVu Sans"/>
        </w:rPr>
        <w:t xml:space="preserve">☐  </w:t>
      </w:r>
      <w:r>
        <w:t>About window fits and shows creator, website, support, version, and disclaimer.</w:t>
      </w:r>
    </w:p>
    <w:p>
      <w:pPr>
        <w:pStyle w:val="BodyText"/>
        <w:ind w:left="72"/>
      </w:pPr>
      <w:r>
        <w:rPr>
          <w:rFonts w:ascii="DejaVu Sans" w:hAnsi="DejaVu Sans"/>
        </w:rPr>
        <w:t xml:space="preserve">☐  </w:t>
      </w:r>
      <w:r>
        <w:t>Valid MP3 files and folders drag successfully into several regions while idle.</w:t>
      </w:r>
    </w:p>
    <w:p>
      <w:pPr>
        <w:pStyle w:val="BodyText"/>
        <w:ind w:left="72"/>
      </w:pPr>
      <w:r>
        <w:rPr>
          <w:rFonts w:ascii="DejaVu Sans" w:hAnsi="DejaVu Sans"/>
        </w:rPr>
        <w:t xml:space="preserve">☐  </w:t>
      </w:r>
      <w:r>
        <w:t>Non-MP3 and busy-state drops are rejected; Paste and Ctrl+V work.</w:t>
      </w:r>
    </w:p>
    <w:p>
      <w:pPr>
        <w:pStyle w:val="BodyText"/>
        <w:ind w:left="72"/>
      </w:pPr>
      <w:r>
        <w:rPr>
          <w:rFonts w:ascii="DejaVu Sans" w:hAnsi="DejaVu Sans"/>
        </w:rPr>
        <w:t xml:space="preserve">☐  </w:t>
      </w:r>
      <w:r>
        <w:t>Secure key save/load/delete works for the current Windows user without key leakage.</w:t>
      </w:r>
    </w:p>
    <w:p>
      <w:pPr>
        <w:pStyle w:val="BodyText"/>
        <w:ind w:left="72"/>
      </w:pPr>
      <w:r>
        <w:rPr>
          <w:rFonts w:ascii="DejaVu Sans" w:hAnsi="DejaVu Sans"/>
        </w:rPr>
        <w:t xml:space="preserve">☐  </w:t>
      </w:r>
      <w:r>
        <w:t>Short live transcription creates correct TXT/Markdown output and checkpoints.</w:t>
      </w:r>
    </w:p>
    <w:p>
      <w:pPr>
        <w:pStyle w:val="BodyText"/>
        <w:ind w:left="72"/>
      </w:pPr>
      <w:r>
        <w:rPr>
          <w:rFonts w:ascii="DejaVu Sans" w:hAnsi="DejaVu Sans"/>
        </w:rPr>
        <w:t xml:space="preserve">☐  </w:t>
      </w:r>
      <w:r>
        <w:t>Cancel-after-response resumes from checkpoint without retranscribing the completed chunk.</w:t>
      </w:r>
    </w:p>
    <w:p>
      <w:pPr>
        <w:pStyle w:val="BodyText"/>
        <w:ind w:left="72"/>
      </w:pPr>
      <w:r>
        <w:rPr>
          <w:rFonts w:ascii="DejaVu Sans" w:hAnsi="DejaVu Sans"/>
        </w:rPr>
        <w:t xml:space="preserve">☐  </w:t>
      </w:r>
      <w:r>
        <w:t>Unreadable/undeletable checkpoints stop before paid retranscription.</w:t>
      </w:r>
    </w:p>
    <w:p>
      <w:pPr>
        <w:pStyle w:val="BodyText"/>
        <w:ind w:left="72"/>
      </w:pPr>
      <w:r>
        <w:rPr>
          <w:rFonts w:ascii="DejaVu Sans" w:hAnsi="DejaVu Sans"/>
        </w:rPr>
        <w:t xml:space="preserve">☐  </w:t>
      </w:r>
      <w:r>
        <w:t>Two instances respect cache/work/clear locking.</w:t>
      </w:r>
    </w:p>
    <w:p>
      <w:pPr>
        <w:pStyle w:val="BodyText"/>
        <w:ind w:left="72"/>
      </w:pPr>
      <w:r>
        <w:rPr>
          <w:rFonts w:ascii="DejaVu Sans" w:hAnsi="DejaVu Sans"/>
        </w:rPr>
        <w:t xml:space="preserve">☐  </w:t>
      </w:r>
      <w:r>
        <w:t>Close during work waits for safe unwind.</w:t>
      </w:r>
    </w:p>
    <w:p>
      <w:pPr>
        <w:pStyle w:val="BodyText"/>
        <w:ind w:left="72"/>
      </w:pPr>
      <w:r>
        <w:rPr>
          <w:rFonts w:ascii="DejaVu Sans" w:hAnsi="DejaVu Sans"/>
        </w:rPr>
        <w:t xml:space="preserve">☐  </w:t>
      </w:r>
      <w:r>
        <w:t>High-DPI, small work area, multi-monitor, remote desktop, keyboard, and screen-reader basics are checked.</w:t>
      </w:r>
    </w:p>
    <w:p>
      <w:pPr>
        <w:pStyle w:val="Heading2"/>
      </w:pPr>
      <w:r>
        <w:t>About Cosmic Transcriber</w:t>
      </w:r>
    </w:p>
    <w:p>
      <w:pPr>
        <w:pStyle w:val="BodyText"/>
      </w:pPr>
      <w:r>
        <w:t>Created and maintained by Soh Wei Yu. Cosmic Transcriber is free to use. If it saves time and you would like to support continued maintenance, an optional PayPal contribution is appreciated - never required.</w:t>
      </w:r>
    </w:p>
    <w:tbl>
      <w:tblPr>
        <w:tblStyle w:val="TableGrid"/>
        <w:tblW w:type="auto" w:w="0"/>
        <w:jc w:val="center"/>
        <w:tblLook w:firstColumn="1" w:firstRow="1" w:lastColumn="0" w:lastRow="0" w:noHBand="0" w:noVBand="1" w:val="04A0"/>
      </w:tblPr>
      <w:tblGrid>
        <w:gridCol w:w="5112"/>
        <w:gridCol w:w="5112"/>
      </w:tblGrid>
      <w:tr>
        <w:trPr>
          <w:tblHeader w:val="true"/>
          <w:cantSplit/>
        </w:trPr>
        <w:tc>
          <w:tcPr>
            <w:tcW w:type="dxa" w:w="5112"/>
            <w:tcMar>
              <w:top w:w="90" w:type="dxa"/>
              <w:start w:w="110" w:type="dxa"/>
              <w:bottom w:w="90" w:type="dxa"/>
              <w:end w:w="110" w:type="dxa"/>
            </w:tcMar>
            <w:shd w:fill="F5F3F9"/>
          </w:tcPr>
          <w:p>
            <w:r>
              <w:rPr>
                <w:b/>
                <w:color w:val="231D31"/>
              </w:rPr>
              <w:t>Website</w:t>
            </w:r>
          </w:p>
        </w:tc>
        <w:tc>
          <w:tcPr>
            <w:tcW w:type="dxa" w:w="5112"/>
            <w:tcMar>
              <w:top w:w="90" w:type="dxa"/>
              <w:start w:w="110" w:type="dxa"/>
              <w:bottom w:w="90" w:type="dxa"/>
              <w:end w:w="110" w:type="dxa"/>
            </w:tcMar>
          </w:tcPr>
          <w:p>
            <w:r>
              <w:t>https://www.awakeningtoreality.com/</w:t>
            </w:r>
          </w:p>
        </w:tc>
      </w:tr>
      <w:tr>
        <w:trPr>
          <w:cantSplit/>
        </w:trPr>
        <w:tc>
          <w:tcPr>
            <w:tcW w:type="dxa" w:w="5112"/>
            <w:tcMar>
              <w:top w:w="90" w:type="dxa"/>
              <w:start w:w="110" w:type="dxa"/>
              <w:bottom w:w="90" w:type="dxa"/>
              <w:end w:w="110" w:type="dxa"/>
            </w:tcMar>
            <w:shd w:fill="F5F3F9"/>
          </w:tcPr>
          <w:p>
            <w:r>
              <w:rPr>
                <w:b/>
                <w:color w:val="231D31"/>
              </w:rPr>
              <w:t>Optional PayPal</w:t>
            </w:r>
          </w:p>
        </w:tc>
        <w:tc>
          <w:tcPr>
            <w:tcW w:type="dxa" w:w="5112"/>
            <w:tcMar>
              <w:top w:w="90" w:type="dxa"/>
              <w:start w:w="110" w:type="dxa"/>
              <w:bottom w:w="90" w:type="dxa"/>
              <w:end w:w="110" w:type="dxa"/>
            </w:tcMar>
          </w:tcPr>
          <w:p>
            <w:r>
              <w:t>sohweiyu@outlook.com</w:t>
            </w:r>
          </w:p>
        </w:tc>
      </w:tr>
      <w:tr>
        <w:trPr>
          <w:cantSplit/>
        </w:trPr>
        <w:tc>
          <w:tcPr>
            <w:tcW w:type="dxa" w:w="5112"/>
            <w:tcMar>
              <w:top w:w="90" w:type="dxa"/>
              <w:start w:w="110" w:type="dxa"/>
              <w:bottom w:w="90" w:type="dxa"/>
              <w:end w:w="110" w:type="dxa"/>
            </w:tcMar>
            <w:shd w:fill="F5F3F9"/>
          </w:tcPr>
          <w:p>
            <w:r>
              <w:rPr>
                <w:b/>
                <w:color w:val="231D31"/>
              </w:rPr>
              <w:t>Version</w:t>
            </w:r>
          </w:p>
        </w:tc>
        <w:tc>
          <w:tcPr>
            <w:tcW w:type="dxa" w:w="5112"/>
            <w:tcMar>
              <w:top w:w="90" w:type="dxa"/>
              <w:start w:w="110" w:type="dxa"/>
              <w:bottom w:w="90" w:type="dxa"/>
              <w:end w:w="110" w:type="dxa"/>
            </w:tcMar>
          </w:tcPr>
          <w:p>
            <w:r>
              <w:t>1.0.27</w:t>
            </w:r>
          </w:p>
        </w:tc>
      </w:tr>
      <w:tr>
        <w:trPr>
          <w:cantSplit/>
        </w:trPr>
        <w:tc>
          <w:tcPr>
            <w:tcW w:type="dxa" w:w="5112"/>
            <w:tcMar>
              <w:top w:w="90" w:type="dxa"/>
              <w:start w:w="110" w:type="dxa"/>
              <w:bottom w:w="90" w:type="dxa"/>
              <w:end w:w="110" w:type="dxa"/>
            </w:tcMar>
            <w:shd w:fill="F5F3F9"/>
          </w:tcPr>
          <w:p>
            <w:r>
              <w:rPr>
                <w:b/>
                <w:color w:val="231D31"/>
              </w:rPr>
              <w:t>Affiliation</w:t>
            </w:r>
          </w:p>
        </w:tc>
        <w:tc>
          <w:tcPr>
            <w:tcW w:type="dxa" w:w="5112"/>
            <w:tcMar>
              <w:top w:w="90" w:type="dxa"/>
              <w:start w:w="110" w:type="dxa"/>
              <w:bottom w:w="90" w:type="dxa"/>
              <w:end w:w="110" w:type="dxa"/>
            </w:tcMar>
          </w:tcPr>
          <w:p>
            <w:r>
              <w:t>Independent software; not affiliated with or endorsed by OpenAI.</w:t>
            </w:r>
          </w:p>
        </w:tc>
      </w:tr>
    </w:tbl>
    <w:p>
      <w:pPr>
        <w:pStyle w:val="BodyText"/>
        <w:spacing w:before="240"/>
        <w:jc w:val="center"/>
      </w:pPr>
      <w:hyperlink r:id="rId12">
        <w:r>
          <w:rPr>
            <w:color w:val="2F66A2"/>
            <w:u w:val="single"/>
          </w:rPr>
          <w:t>Open Awakening to Reality</w:t>
        </w:r>
      </w:hyperlink>
    </w:p>
    <w:p>
      <w:pPr>
        <w:pStyle w:val="BodyText"/>
        <w:jc w:val="center"/>
      </w:pPr>
      <w:r>
        <w:rPr>
          <w:b/>
          <w:color w:val="17112F"/>
        </w:rPr>
        <w:t>Thank you for using Cosmic Transcriber safely and carefully.</w:t>
      </w:r>
    </w:p>
    <w:sectPr w:rsidR="00FC693F" w:rsidRPr="0006063C" w:rsidSect="00034616">
      <w:headerReference w:type="default" r:id="rId9"/>
      <w:footerReference w:type="default" r:id="rId10"/>
      <w:headerReference w:type="first" r:id="rId13"/>
      <w:footerReference w:type="first" r:id="rId14"/>
      <w:headerReference w:type="even" r:id="rId15"/>
      <w:footerReference w:type="even" r:id="rId16"/>
      <w:pgSz w:w="12240" w:h="15840"/>
      <w:pgMar w:top="893" w:right="1008" w:bottom="893" w:left="1008" w:header="403"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6B637D"/>
        <w:sz w:val="16"/>
      </w:rPr>
      <w:t xml:space="preserve">Created and maintained by Soh Wei Yu  |  Page </w:t>
    </w:r>
    <w:r>
      <w:fldChar w:fldCharType="begin"/>
      <w:instrText xml:space="preserve"> PAGE </w:instrTex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Bdr>
        <w:bottom w:val="single" w:sz="4" w:space="4" w:color="D9D3E3"/>
      </w:pBdr>
    </w:pPr>
    <w:r>
      <w:rPr>
        <w:rFonts w:ascii="Arial" w:hAnsi="Arial"/>
        <w:b/>
        <w:color w:val="6B637D"/>
        <w:sz w:val="16"/>
      </w:rPr>
      <w:t>COSMIC TRANSCRIBER  |  v1.0.27</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Arial" w:hAnsi="Arial"/>
      <w:color w:val="231D31"/>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80" w:after="140"/>
      <w:outlineLvl w:val="0"/>
    </w:pPr>
    <w:rPr>
      <w:rFonts w:asciiTheme="majorHAnsi" w:eastAsiaTheme="majorEastAsia" w:hAnsiTheme="majorHAnsi" w:cstheme="majorBidi" w:ascii="Arial" w:hAnsi="Arial"/>
      <w:b/>
      <w:bCs/>
      <w:color w:val="17112F"/>
      <w:sz w:val="40"/>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Arial" w:hAnsi="Arial"/>
      <w:b/>
      <w:bCs/>
      <w:color w:val="241A43"/>
      <w:sz w:val="27"/>
      <w:szCs w:val="26"/>
    </w:rPr>
  </w:style>
  <w:style w:type="paragraph" w:styleId="Heading3">
    <w:name w:val="heading 3"/>
    <w:basedOn w:val="Normal"/>
    <w:next w:val="Normal"/>
    <w:link w:val="Heading3Char"/>
    <w:uiPriority w:val="9"/>
    <w:unhideWhenUsed/>
    <w:qFormat/>
    <w:rsid w:val="00FC693F"/>
    <w:pPr>
      <w:keepNext/>
      <w:keepLines/>
      <w:spacing w:before="120" w:after="40"/>
      <w:outlineLvl w:val="2"/>
    </w:pPr>
    <w:rPr>
      <w:rFonts w:asciiTheme="majorHAnsi" w:eastAsiaTheme="majorEastAsia" w:hAnsiTheme="majorHAnsi" w:cstheme="majorBidi" w:ascii="Arial" w:hAnsi="Arial"/>
      <w:b/>
      <w:bCs/>
      <w:color w:val="4B8FCC"/>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60" w:line="240" w:lineRule="auto" w:before="0"/>
      <w:contextualSpacing/>
    </w:pPr>
    <w:rPr>
      <w:rFonts w:asciiTheme="majorHAnsi" w:eastAsiaTheme="majorEastAsia" w:hAnsiTheme="majorHAnsi" w:cstheme="majorBidi" w:ascii="Arial" w:hAnsi="Arial"/>
      <w:b/>
      <w:color w:val="17112F"/>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10" w:line="259" w:lineRule="auto"/>
    </w:pPr>
    <w:rPr>
      <w:rFonts w:ascii="Arial" w:hAnsi="Arial"/>
      <w:color w:val="231D31"/>
      <w:sz w:val="19"/>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contextualSpacing/>
    </w:pPr>
    <w:rPr>
      <w:rFonts w:ascii="Arial" w:hAnsi="Arial"/>
      <w:sz w:val="18"/>
    </w:rPr>
  </w:style>
  <w:style w:type="paragraph" w:styleId="ListBullet2">
    <w:name w:val="List Bullet 2"/>
    <w:basedOn w:val="Normal"/>
    <w:uiPriority w:val="99"/>
    <w:unhideWhenUsed/>
    <w:rsid w:val="00326F90"/>
    <w:pPr>
      <w:numPr>
        <w:numId w:val="2"/>
      </w:numPr>
      <w:spacing w:after="60"/>
      <w:contextualSpacing/>
    </w:pPr>
    <w:rPr>
      <w:rFonts w:ascii="Arial" w:hAnsi="Arial"/>
      <w:sz w:val="18"/>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contextualSpacing/>
    </w:pPr>
    <w:rPr>
      <w:rFonts w:ascii="Arial" w:hAnsi="Arial"/>
      <w:sz w:val="18"/>
    </w:rPr>
  </w:style>
  <w:style w:type="paragraph" w:styleId="ListNumber2">
    <w:name w:val="List Number 2"/>
    <w:basedOn w:val="Normal"/>
    <w:uiPriority w:val="99"/>
    <w:unhideWhenUsed/>
    <w:rsid w:val="0029639D"/>
    <w:pPr>
      <w:numPr>
        <w:numId w:val="6"/>
      </w:numPr>
      <w:spacing w:after="60"/>
      <w:contextualSpacing/>
    </w:pPr>
    <w:rPr>
      <w:rFonts w:ascii="Arial" w:hAnsi="Arial"/>
      <w:sz w:val="18"/>
    </w:r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BodyText">
    <w:name w:val="BodyText"/>
    <w:pPr>
      <w:spacing w:after="110" w:line="259" w:lineRule="auto"/>
    </w:pPr>
    <w:rPr>
      <w:rFonts w:ascii="Arial" w:hAnsi="Arial"/>
      <w:color w:val="231D31"/>
      <w:sz w:val="19"/>
    </w:rPr>
  </w:style>
  <w:style w:type="paragraph" w:customStyle="1" w:styleId="TitlePageHeading">
    <w:name w:val="TitlePageHeading"/>
    <w:pPr>
      <w:spacing w:after="140"/>
    </w:pPr>
    <w:rPr>
      <w:rFonts w:ascii="Arial" w:hAnsi="Arial"/>
      <w:b/>
      <w:color w:val="17112F"/>
      <w:sz w:val="48"/>
    </w:rPr>
  </w:style>
  <w:style w:type="paragraph" w:customStyle="1" w:styleId="SubtitleText">
    <w:name w:val="SubtitleText"/>
    <w:pPr>
      <w:spacing w:after="200"/>
    </w:pPr>
    <w:rPr>
      <w:rFonts w:ascii="Arial" w:hAnsi="Arial"/>
      <w:color w:val="6B637D"/>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www.awakeningtoreality.com/" TargetMode="External"/><Relationship Id="rId13" Type="http://schemas.openxmlformats.org/officeDocument/2006/relationships/header" Target="header2.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Cosmic Transcriber 1.0.27 Comprehensive Manual</dc:title>
  <dc:subject>User, troubleshooting, developer, audit, and release guide for Cosmic Transcriber 1.0.27</dc:subject>
  <dc:creator>Soh Wei Yu</dc:creator>
  <cp:keywords>Cosmic Transcriber, 1.0.27, OpenAI transcription, autosave, diarization, WPF, accessible dropdown</cp:keywords>
  <dc:description>Cosmic Transcriber 1.0.27 comprehensive manual; UI/dropdown full audit, 52-mutation release gate, and wheel-scroll forwarding repair.</dc:description>
  <cp:lastModifiedBy>OpenAI</cp:lastModifiedBy>
  <cp:revision>1</cp:revision>
  <dcterms:created xsi:type="dcterms:W3CDTF">2013-12-23T23:15:00Z</dcterms:created>
  <dcterms:modified xsi:type="dcterms:W3CDTF">2013-12-23T23:15:00Z</dcterms:modified>
  <cp:category/>
</cp:coreProperties>
</file>